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7AC2C2" w14:textId="77777777" w:rsidR="00EF0B38" w:rsidRDefault="00000000">
      <w:pPr>
        <w:jc w:val="center"/>
        <w:rPr>
          <w:b/>
          <w:bCs/>
          <w:sz w:val="22"/>
          <w:szCs w:val="22"/>
        </w:rPr>
      </w:pPr>
      <w:r>
        <w:rPr>
          <w:b/>
          <w:bCs/>
          <w:sz w:val="22"/>
          <w:szCs w:val="22"/>
        </w:rPr>
        <w:t>DECRETO N°.    XXXX        DE 2026</w:t>
      </w:r>
    </w:p>
    <w:p w14:paraId="7A8E6052" w14:textId="77777777" w:rsidR="00EF0B38" w:rsidRDefault="00000000">
      <w:pPr>
        <w:jc w:val="center"/>
        <w:rPr>
          <w:b/>
          <w:bCs/>
          <w:sz w:val="22"/>
          <w:szCs w:val="22"/>
        </w:rPr>
      </w:pPr>
      <w:r>
        <w:rPr>
          <w:b/>
          <w:bCs/>
          <w:sz w:val="22"/>
          <w:szCs w:val="22"/>
        </w:rPr>
        <w:t>(                                    )</w:t>
      </w:r>
    </w:p>
    <w:p w14:paraId="431218E8" w14:textId="77777777" w:rsidR="00EF0B38" w:rsidRDefault="00EF0B38">
      <w:pPr>
        <w:jc w:val="center"/>
        <w:rPr>
          <w:b/>
          <w:bCs/>
          <w:sz w:val="22"/>
          <w:szCs w:val="22"/>
        </w:rPr>
      </w:pPr>
    </w:p>
    <w:p w14:paraId="28526482" w14:textId="77777777" w:rsidR="00EF0B38" w:rsidRDefault="00EF0B38">
      <w:pPr>
        <w:jc w:val="both"/>
        <w:rPr>
          <w:sz w:val="22"/>
          <w:szCs w:val="22"/>
        </w:rPr>
      </w:pPr>
    </w:p>
    <w:p w14:paraId="7BE69C1A" w14:textId="77777777" w:rsidR="00EF0B38" w:rsidRDefault="00000000">
      <w:pPr>
        <w:jc w:val="center"/>
        <w:rPr>
          <w:b/>
          <w:bCs/>
          <w:sz w:val="22"/>
          <w:szCs w:val="22"/>
        </w:rPr>
      </w:pPr>
      <w:r>
        <w:rPr>
          <w:b/>
          <w:bCs/>
          <w:sz w:val="22"/>
          <w:szCs w:val="22"/>
        </w:rPr>
        <w:t xml:space="preserve">“POR EL </w:t>
      </w:r>
      <w:commentRangeStart w:id="0"/>
      <w:r>
        <w:rPr>
          <w:b/>
          <w:bCs/>
          <w:sz w:val="22"/>
          <w:szCs w:val="22"/>
        </w:rPr>
        <w:t xml:space="preserve">CUAL SE ACTUALIZA </w:t>
      </w:r>
      <w:commentRangeEnd w:id="0"/>
      <w:r w:rsidR="00A23935">
        <w:rPr>
          <w:rStyle w:val="Refdecomentario"/>
          <w:b/>
          <w:bCs/>
          <w:sz w:val="22"/>
          <w:szCs w:val="22"/>
        </w:rPr>
        <w:commentReference w:id="0"/>
      </w:r>
      <w:r>
        <w:rPr>
          <w:b/>
          <w:bCs/>
          <w:sz w:val="22"/>
          <w:szCs w:val="22"/>
        </w:rPr>
        <w:t>LA ACTIVIDAD DE CARGUE Y DESCARGUE EN EL MUNICIPIO DE CAJICÁ, SE ESTABLECEN DISPOSICIONES SOBRE CAPACIDAD DE CARGA, USO DEL ESPACIO PÚBLICO Y SE DICTAN OTRAS DISPOSICIONES”.</w:t>
      </w:r>
    </w:p>
    <w:p w14:paraId="58FF7938" w14:textId="77777777" w:rsidR="00EF0B38" w:rsidRDefault="00EF0B38">
      <w:pPr>
        <w:jc w:val="both"/>
        <w:rPr>
          <w:b/>
          <w:bCs/>
          <w:sz w:val="22"/>
          <w:szCs w:val="22"/>
        </w:rPr>
      </w:pPr>
    </w:p>
    <w:p w14:paraId="5BDA4936" w14:textId="77777777" w:rsidR="00EF0B38" w:rsidRDefault="00000000">
      <w:pPr>
        <w:jc w:val="both"/>
        <w:rPr>
          <w:sz w:val="22"/>
          <w:szCs w:val="22"/>
        </w:rPr>
      </w:pPr>
      <w:r>
        <w:rPr>
          <w:sz w:val="22"/>
          <w:szCs w:val="22"/>
        </w:rPr>
        <w:t>LA ALCALDESA MUNICIPAL DE CAJICÁ, en ejercicio de sus facultades constitucionales y legales, en especial las conferidas por los artículos 2, 24, 209 y 315 de la Constitución Política, la Ley 136 de 1994, la Ley 769 de 2002, la Ley 105 de 1993, la Ley 336 de 1996, el Decreto 1079 de 2015 y demás normas concordantes, y</w:t>
      </w:r>
    </w:p>
    <w:p w14:paraId="60377DB9" w14:textId="77777777" w:rsidR="00EF0B38" w:rsidRDefault="00000000">
      <w:pPr>
        <w:rPr>
          <w:sz w:val="22"/>
          <w:szCs w:val="22"/>
        </w:rPr>
      </w:pPr>
      <w:r>
        <w:rPr>
          <w:sz w:val="22"/>
          <w:szCs w:val="22"/>
        </w:rPr>
        <w:t xml:space="preserve"> </w:t>
      </w:r>
    </w:p>
    <w:p w14:paraId="4BDF0BA1" w14:textId="77777777" w:rsidR="00EF0B38" w:rsidRDefault="00EF0B38">
      <w:pPr>
        <w:jc w:val="center"/>
        <w:rPr>
          <w:b/>
          <w:bCs/>
          <w:sz w:val="22"/>
          <w:szCs w:val="22"/>
        </w:rPr>
      </w:pPr>
    </w:p>
    <w:p w14:paraId="46CE0F22" w14:textId="77777777" w:rsidR="00EF0B38" w:rsidRDefault="00000000">
      <w:pPr>
        <w:jc w:val="center"/>
        <w:rPr>
          <w:b/>
          <w:bCs/>
          <w:sz w:val="22"/>
          <w:szCs w:val="22"/>
        </w:rPr>
      </w:pPr>
      <w:r>
        <w:rPr>
          <w:b/>
          <w:bCs/>
          <w:sz w:val="22"/>
          <w:szCs w:val="22"/>
        </w:rPr>
        <w:t xml:space="preserve">CONSIDERANDO:  </w:t>
      </w:r>
    </w:p>
    <w:p w14:paraId="6A27578D" w14:textId="77777777" w:rsidR="00EF0B38" w:rsidRDefault="00EF0B38">
      <w:pPr>
        <w:jc w:val="center"/>
        <w:rPr>
          <w:sz w:val="22"/>
          <w:szCs w:val="22"/>
        </w:rPr>
      </w:pPr>
    </w:p>
    <w:p w14:paraId="0256B204" w14:textId="77777777" w:rsidR="00EF0B38" w:rsidRDefault="00EF0B38">
      <w:pPr>
        <w:jc w:val="center"/>
        <w:rPr>
          <w:sz w:val="22"/>
          <w:szCs w:val="22"/>
        </w:rPr>
      </w:pPr>
    </w:p>
    <w:p w14:paraId="52F7E53F" w14:textId="77777777" w:rsidR="00EF0B38" w:rsidRDefault="00000000">
      <w:pPr>
        <w:jc w:val="both"/>
        <w:rPr>
          <w:i/>
          <w:iCs/>
          <w:sz w:val="22"/>
          <w:szCs w:val="22"/>
        </w:rPr>
      </w:pPr>
      <w:r>
        <w:rPr>
          <w:sz w:val="22"/>
          <w:szCs w:val="22"/>
        </w:rPr>
        <w:t xml:space="preserve">Que el artículo 2° de la Constitución Política establece: </w:t>
      </w:r>
      <w:r>
        <w:rPr>
          <w:i/>
          <w:iCs/>
          <w:sz w:val="22"/>
          <w:szCs w:val="22"/>
        </w:rPr>
        <w:t xml:space="preserve">"Son fines esenciales del Estado: servir a la comunidad, promover la prosperidad general y garantizar la efectividad de los principios, derechos y deberes consagrados en la Constitución: facilitar la participación de todos en las decisiones que los afectan y en la vida económica, política, administrativa y cultural de la Nación; defender la independencia nacional, mantener la integridad territorial y asegurar la convivencia pacífica y la vigencia de un orden justo. </w:t>
      </w:r>
    </w:p>
    <w:p w14:paraId="0B2278A9" w14:textId="77777777" w:rsidR="00EF0B38" w:rsidRDefault="00000000">
      <w:pPr>
        <w:jc w:val="both"/>
        <w:rPr>
          <w:i/>
          <w:iCs/>
          <w:sz w:val="22"/>
          <w:szCs w:val="22"/>
        </w:rPr>
      </w:pPr>
      <w:r>
        <w:rPr>
          <w:i/>
          <w:iCs/>
          <w:sz w:val="22"/>
          <w:szCs w:val="22"/>
        </w:rPr>
        <w:t>Las autoridades de la República están instituidas para proteger a todas las personas residentes en Colombia, en su vida, honra, bienes, creencias, y demás derechos y libertades, y para asegurar el cumplimiento de los deberes sociales del Estado y de los particulares. (...)”</w:t>
      </w:r>
    </w:p>
    <w:p w14:paraId="447B9C8C" w14:textId="77777777" w:rsidR="00EF0B38" w:rsidRDefault="00EF0B38">
      <w:pPr>
        <w:jc w:val="both"/>
        <w:rPr>
          <w:sz w:val="22"/>
          <w:szCs w:val="22"/>
        </w:rPr>
      </w:pPr>
    </w:p>
    <w:p w14:paraId="553186B1" w14:textId="77777777" w:rsidR="00EF0B38" w:rsidRDefault="00000000">
      <w:pPr>
        <w:jc w:val="both"/>
        <w:rPr>
          <w:sz w:val="22"/>
          <w:szCs w:val="22"/>
        </w:rPr>
      </w:pPr>
      <w:r>
        <w:rPr>
          <w:sz w:val="22"/>
          <w:szCs w:val="22"/>
        </w:rPr>
        <w:t>Que el artículo 24 de la Constitución consagra el derecho a la libre locomoción, sujeto a las limitaciones que establezcan las autoridades competentes para proteger la seguridad y el interés general, incluida la regulación de la circulación y del estacionamiento de vehículos.</w:t>
      </w:r>
    </w:p>
    <w:p w14:paraId="68091A5A" w14:textId="77777777" w:rsidR="00EF0B38" w:rsidRDefault="00EF0B38">
      <w:pPr>
        <w:jc w:val="both"/>
        <w:rPr>
          <w:sz w:val="22"/>
          <w:szCs w:val="22"/>
        </w:rPr>
      </w:pPr>
    </w:p>
    <w:p w14:paraId="4044D7AC" w14:textId="77777777" w:rsidR="00EF0B38" w:rsidRDefault="00000000">
      <w:pPr>
        <w:jc w:val="both"/>
        <w:rPr>
          <w:sz w:val="22"/>
          <w:szCs w:val="22"/>
        </w:rPr>
      </w:pPr>
      <w:r>
        <w:rPr>
          <w:sz w:val="22"/>
          <w:szCs w:val="22"/>
        </w:rPr>
        <w:t>Que el artículo 209 de la Constitución dispone que la función administrativa se desarrolla con fundamento en los principios de igualdad, moralidad, eficacia, economía, celeridad, imparcialidad y publicidad, y que las autoridades administrativas deben coordinar sus actuaciones para el adecuado cumplimiento de los fines del Estado.</w:t>
      </w:r>
    </w:p>
    <w:p w14:paraId="2C12A752" w14:textId="77777777" w:rsidR="00EF0B38" w:rsidRDefault="00EF0B38">
      <w:pPr>
        <w:jc w:val="both"/>
        <w:rPr>
          <w:sz w:val="22"/>
          <w:szCs w:val="22"/>
        </w:rPr>
      </w:pPr>
    </w:p>
    <w:p w14:paraId="62A9B35A" w14:textId="77777777" w:rsidR="00EF0B38" w:rsidRDefault="00000000">
      <w:pPr>
        <w:jc w:val="both"/>
        <w:rPr>
          <w:sz w:val="22"/>
          <w:szCs w:val="22"/>
        </w:rPr>
      </w:pPr>
      <w:r>
        <w:rPr>
          <w:sz w:val="22"/>
          <w:szCs w:val="22"/>
        </w:rPr>
        <w:t>Que el artículo 315 de la Constitución Política asigna a los alcaldes la función de cumplir y hacer cumplir la Constitución, la ley, los decretos del Gobierno, las ordenanzas y los acuerdos, así como dirigir la acción administrativa del municipio y ordenar el tránsito en el territorio de su jurisdicción.</w:t>
      </w:r>
    </w:p>
    <w:p w14:paraId="2352773D" w14:textId="77777777" w:rsidR="00EF0B38" w:rsidRDefault="00EF0B38">
      <w:pPr>
        <w:jc w:val="both"/>
        <w:rPr>
          <w:sz w:val="22"/>
          <w:szCs w:val="22"/>
        </w:rPr>
      </w:pPr>
    </w:p>
    <w:p w14:paraId="2DB51616" w14:textId="77777777" w:rsidR="00EF0B38" w:rsidRDefault="00000000">
      <w:pPr>
        <w:jc w:val="both"/>
        <w:rPr>
          <w:sz w:val="22"/>
          <w:szCs w:val="22"/>
        </w:rPr>
      </w:pPr>
      <w:r>
        <w:rPr>
          <w:sz w:val="22"/>
          <w:szCs w:val="22"/>
        </w:rPr>
        <w:t>Que la Ley 136 de 1994 establece que el alcalde es la primera autoridad de policía del municipio y le corresponde conservar el orden público en el mismo, mediante la expedición de actos administrativos de carácter general y particular.</w:t>
      </w:r>
    </w:p>
    <w:p w14:paraId="171D02F1" w14:textId="77777777" w:rsidR="00EF0B38" w:rsidRDefault="00EF0B38">
      <w:pPr>
        <w:jc w:val="both"/>
        <w:rPr>
          <w:sz w:val="22"/>
          <w:szCs w:val="22"/>
        </w:rPr>
      </w:pPr>
    </w:p>
    <w:p w14:paraId="4F068CD3" w14:textId="77777777" w:rsidR="00EF0B38" w:rsidRDefault="00000000">
      <w:pPr>
        <w:jc w:val="both"/>
        <w:rPr>
          <w:sz w:val="22"/>
          <w:szCs w:val="22"/>
        </w:rPr>
      </w:pPr>
      <w:r>
        <w:rPr>
          <w:sz w:val="22"/>
          <w:szCs w:val="22"/>
        </w:rPr>
        <w:t>Que la Ley 105 de 1993 y la Ley 336 de 1996 reconocen la intervención del Estado en el transporte como servicio público esencial, y señalan que las autoridades del sector deben organizar, vigilar y controlar la actividad transportadora dentro de su jurisdicción.</w:t>
      </w:r>
    </w:p>
    <w:p w14:paraId="49555A1C" w14:textId="77777777" w:rsidR="00EF0B38" w:rsidRDefault="00EF0B38">
      <w:pPr>
        <w:jc w:val="both"/>
        <w:rPr>
          <w:sz w:val="22"/>
          <w:szCs w:val="22"/>
        </w:rPr>
      </w:pPr>
    </w:p>
    <w:p w14:paraId="6A6ECDBE" w14:textId="77777777" w:rsidR="00EF0B38" w:rsidRDefault="00000000">
      <w:pPr>
        <w:jc w:val="both"/>
        <w:rPr>
          <w:sz w:val="22"/>
          <w:szCs w:val="22"/>
        </w:rPr>
      </w:pPr>
      <w:r>
        <w:rPr>
          <w:sz w:val="22"/>
          <w:szCs w:val="22"/>
        </w:rPr>
        <w:t>Que la Ley 769 de 2002 (Código Nacional de Tránsito Terrestre) faculta a las autoridades de tránsito para regular la circulación, establecer zonas y horarios de cargue y descargue, restringir el estacionamiento y adoptar medidas de control para garantizar la seguridad vial.</w:t>
      </w:r>
    </w:p>
    <w:p w14:paraId="37D7EF9B" w14:textId="77777777" w:rsidR="00EF0B38" w:rsidRDefault="00EF0B38">
      <w:pPr>
        <w:jc w:val="both"/>
        <w:rPr>
          <w:sz w:val="22"/>
          <w:szCs w:val="22"/>
        </w:rPr>
      </w:pPr>
    </w:p>
    <w:p w14:paraId="720FD144" w14:textId="77777777" w:rsidR="00EF0B38" w:rsidRDefault="00000000">
      <w:pPr>
        <w:jc w:val="both"/>
        <w:rPr>
          <w:sz w:val="22"/>
          <w:szCs w:val="22"/>
        </w:rPr>
      </w:pPr>
      <w:r>
        <w:rPr>
          <w:sz w:val="22"/>
          <w:szCs w:val="22"/>
        </w:rPr>
        <w:t>Que los artículos 76 y 78 de la Ley 769 de 2002 definen los lugares prohibidos para estacionar y facultan a la autoridad de tránsito para determinar zonas y horarios de cargue y descargue, así como las condiciones en que pueden realizarse estas actividades en los perímetros urbanos.</w:t>
      </w:r>
    </w:p>
    <w:p w14:paraId="63DC143D" w14:textId="77777777" w:rsidR="00EF0B38" w:rsidRDefault="00EF0B38">
      <w:pPr>
        <w:jc w:val="both"/>
        <w:rPr>
          <w:sz w:val="22"/>
          <w:szCs w:val="22"/>
        </w:rPr>
      </w:pPr>
    </w:p>
    <w:p w14:paraId="0D014FA4" w14:textId="77777777" w:rsidR="00EF0B38" w:rsidRDefault="00000000">
      <w:pPr>
        <w:jc w:val="both"/>
        <w:rPr>
          <w:sz w:val="22"/>
          <w:szCs w:val="22"/>
        </w:rPr>
      </w:pPr>
      <w:r>
        <w:rPr>
          <w:sz w:val="22"/>
          <w:szCs w:val="22"/>
        </w:rPr>
        <w:t>Que los artículos 119, 122 y 131 de la Ley 769 de 2002 regulan las facultades de intervención de las autoridades de tránsito, las medidas como la inmovilización de vehículos y el régimen de infracciones y multas aplicable a quienes incumplan las normas de tránsito.</w:t>
      </w:r>
    </w:p>
    <w:p w14:paraId="0658F423" w14:textId="77777777" w:rsidR="00EF0B38" w:rsidRDefault="00EF0B38">
      <w:pPr>
        <w:jc w:val="both"/>
        <w:rPr>
          <w:sz w:val="22"/>
          <w:szCs w:val="22"/>
        </w:rPr>
      </w:pPr>
    </w:p>
    <w:p w14:paraId="1D9AA6FA" w14:textId="77777777" w:rsidR="00EF0B38" w:rsidRDefault="00000000">
      <w:pPr>
        <w:jc w:val="both"/>
        <w:rPr>
          <w:sz w:val="22"/>
          <w:szCs w:val="22"/>
        </w:rPr>
      </w:pPr>
      <w:r>
        <w:rPr>
          <w:sz w:val="22"/>
          <w:szCs w:val="22"/>
        </w:rPr>
        <w:t>Que el decreto 020 del 12 de marzo del año dos mil nueve (2009) "Por medio del cual se reglamenta el tiempo de estacionamiento sobre las bahías ubicadas a lo largo de carrera sexta", determinó que el tiempo máximo para el estacionamiento sobre las bahías ubicadas en esta vía, es de veinticinco (25) minutos.</w:t>
      </w:r>
    </w:p>
    <w:p w14:paraId="51048A81" w14:textId="77777777" w:rsidR="00EF0B38" w:rsidRDefault="00EF0B38">
      <w:pPr>
        <w:jc w:val="both"/>
        <w:rPr>
          <w:sz w:val="22"/>
          <w:szCs w:val="22"/>
        </w:rPr>
      </w:pPr>
    </w:p>
    <w:p w14:paraId="36424DDB" w14:textId="77777777" w:rsidR="00EF0B38" w:rsidRDefault="00000000">
      <w:pPr>
        <w:jc w:val="both"/>
        <w:rPr>
          <w:sz w:val="22"/>
          <w:szCs w:val="22"/>
        </w:rPr>
      </w:pPr>
      <w:r>
        <w:rPr>
          <w:sz w:val="22"/>
          <w:szCs w:val="22"/>
        </w:rPr>
        <w:t>Que el Decreto 1079 de 2015, Decreto Único Reglamentario del Sector Transporte, establece, entre otros aspectos, deberes y condiciones relacionados con el cargue y descargue de mercancías, tiempos de operación y responsabilidades de los actores del servicio de transporte de carga.</w:t>
      </w:r>
    </w:p>
    <w:p w14:paraId="28B19FFB" w14:textId="77777777" w:rsidR="00EF0B38" w:rsidRDefault="00EF0B38">
      <w:pPr>
        <w:jc w:val="both"/>
        <w:rPr>
          <w:sz w:val="22"/>
          <w:szCs w:val="22"/>
        </w:rPr>
      </w:pPr>
    </w:p>
    <w:p w14:paraId="4153165B" w14:textId="77777777" w:rsidR="00EF0B38" w:rsidRDefault="00000000">
      <w:pPr>
        <w:jc w:val="both"/>
        <w:rPr>
          <w:sz w:val="22"/>
          <w:szCs w:val="22"/>
        </w:rPr>
      </w:pPr>
      <w:r>
        <w:rPr>
          <w:sz w:val="22"/>
          <w:szCs w:val="22"/>
        </w:rPr>
        <w:t>Que mediante Decreto Municipal 036 de 2018 se reglamentó la actividad de cargue y descargue en el Municipio de Cajicá, definiendo conceptos, zonas, horarios y restricciones, con base en la infraestructura vial existente y la necesidad de ordenar la movilidad.</w:t>
      </w:r>
    </w:p>
    <w:p w14:paraId="2B8D876A" w14:textId="77777777" w:rsidR="00EF0B38" w:rsidRDefault="00EF0B38">
      <w:pPr>
        <w:jc w:val="both"/>
        <w:rPr>
          <w:sz w:val="22"/>
          <w:szCs w:val="22"/>
        </w:rPr>
      </w:pPr>
    </w:p>
    <w:p w14:paraId="6F90A5A0" w14:textId="77777777" w:rsidR="00EF0B38" w:rsidRDefault="00000000">
      <w:pPr>
        <w:jc w:val="both"/>
        <w:rPr>
          <w:sz w:val="22"/>
          <w:szCs w:val="22"/>
        </w:rPr>
      </w:pPr>
      <w:r>
        <w:rPr>
          <w:sz w:val="22"/>
          <w:szCs w:val="22"/>
        </w:rPr>
        <w:t>Que desde la expedición del Decreto 036 de 2018 se ha intensificado el crecimiento urbano, la expansión comercial, el desarrollo de proyectos inmobiliarios y el aumento del parque automotor, incrementando significativamente la demanda de operaciones logísticas y generando mayores conflictos en la movilidad, el uso del espacio público y la seguridad vial.</w:t>
      </w:r>
    </w:p>
    <w:p w14:paraId="1B2EED34" w14:textId="77777777" w:rsidR="00EF0B38" w:rsidRDefault="00EF0B38">
      <w:pPr>
        <w:jc w:val="both"/>
        <w:rPr>
          <w:sz w:val="22"/>
          <w:szCs w:val="22"/>
        </w:rPr>
      </w:pPr>
    </w:p>
    <w:p w14:paraId="724EA3F4" w14:textId="77777777" w:rsidR="00EF0B38" w:rsidRDefault="00000000">
      <w:pPr>
        <w:jc w:val="both"/>
        <w:rPr>
          <w:sz w:val="22"/>
          <w:szCs w:val="22"/>
        </w:rPr>
      </w:pPr>
      <w:r>
        <w:rPr>
          <w:sz w:val="22"/>
          <w:szCs w:val="22"/>
        </w:rPr>
        <w:t>Que el Municipio de Cajicá presenta limitaciones en su infraestructura vial urbana, característica que exige optimizar el uso de las vías y reducir la ocupación indebida del espacio público por vehículos de carga, especialmente en horas de alta demanda de tránsito y en zonas con presencia de equipamientos, comercio y servicios.</w:t>
      </w:r>
    </w:p>
    <w:p w14:paraId="4DF4AD18" w14:textId="77777777" w:rsidR="00EF0B38" w:rsidRDefault="00EF0B38">
      <w:pPr>
        <w:jc w:val="both"/>
        <w:rPr>
          <w:sz w:val="22"/>
          <w:szCs w:val="22"/>
        </w:rPr>
      </w:pPr>
    </w:p>
    <w:p w14:paraId="3EA1494F" w14:textId="77777777" w:rsidR="00EF0B38" w:rsidRDefault="00000000">
      <w:pPr>
        <w:jc w:val="both"/>
        <w:rPr>
          <w:sz w:val="22"/>
          <w:szCs w:val="22"/>
        </w:rPr>
      </w:pPr>
      <w:r>
        <w:rPr>
          <w:sz w:val="22"/>
          <w:szCs w:val="22"/>
        </w:rPr>
        <w:t>Que adicionalmente existen instrumentos municipales como el Decreto 121 de 2018 (medidas sobre tránsito de vehículos de carga y sus restricciones) y la Resolución 489 de 2017 (regulación de volquetas), que deben armonizarse con la regulación de cargue y descargue para evitar vacíos o contradicciones normativas y fortalecer la gobernanza logística local.</w:t>
      </w:r>
    </w:p>
    <w:p w14:paraId="4C864280" w14:textId="77777777" w:rsidR="00EF0B38" w:rsidRDefault="00EF0B38">
      <w:pPr>
        <w:jc w:val="both"/>
        <w:rPr>
          <w:sz w:val="22"/>
          <w:szCs w:val="22"/>
        </w:rPr>
      </w:pPr>
    </w:p>
    <w:p w14:paraId="55B20A6E" w14:textId="77777777" w:rsidR="00EF0B38" w:rsidRDefault="00000000">
      <w:pPr>
        <w:jc w:val="both"/>
        <w:rPr>
          <w:sz w:val="22"/>
          <w:szCs w:val="22"/>
        </w:rPr>
      </w:pPr>
      <w:r>
        <w:rPr>
          <w:sz w:val="22"/>
          <w:szCs w:val="22"/>
        </w:rPr>
        <w:t>Que la Agencia Nacional de Seguridad Vial y el Ministerio de Transporte han actualizado el Manual de Señalización Vial, Resolución 20243040045005 del 17 de septiembre de 2024, el cual establece parámetros técnicos obligatorios para la implementación de dispositivos de regulación del tránsito, incluyendo la señalización de zonas de cargue y descargue y restricciones para vehículos de carga.</w:t>
      </w:r>
    </w:p>
    <w:p w14:paraId="2A470750" w14:textId="77777777" w:rsidR="00EF0B38" w:rsidRDefault="00EF0B38">
      <w:pPr>
        <w:jc w:val="both"/>
        <w:rPr>
          <w:sz w:val="22"/>
          <w:szCs w:val="22"/>
        </w:rPr>
      </w:pPr>
    </w:p>
    <w:p w14:paraId="01F04A61" w14:textId="77777777" w:rsidR="00EF0B38" w:rsidRDefault="00000000">
      <w:pPr>
        <w:jc w:val="both"/>
        <w:rPr>
          <w:sz w:val="22"/>
          <w:szCs w:val="22"/>
        </w:rPr>
      </w:pPr>
      <w:r>
        <w:rPr>
          <w:sz w:val="22"/>
          <w:szCs w:val="22"/>
        </w:rPr>
        <w:t>Que se hace necesario simplificar y actualizar el régimen normativo municipal sobre cargue y descargue, adoptando un criterio uniforme basado en la capacidad de carga de los vehículos, que facilite la verificación y control por parte de la autoridad de tránsito y al mismo tiempo reduzca impactos negativos sobre la movilidad y el entorno urbano.</w:t>
      </w:r>
    </w:p>
    <w:p w14:paraId="7A621532" w14:textId="77777777" w:rsidR="00EF0B38" w:rsidRDefault="00EF0B38">
      <w:pPr>
        <w:jc w:val="both"/>
        <w:rPr>
          <w:sz w:val="22"/>
          <w:szCs w:val="22"/>
        </w:rPr>
      </w:pPr>
    </w:p>
    <w:p w14:paraId="1FD41495" w14:textId="77777777" w:rsidR="00EF0B38" w:rsidRDefault="00000000">
      <w:pPr>
        <w:jc w:val="both"/>
        <w:rPr>
          <w:sz w:val="22"/>
          <w:szCs w:val="22"/>
        </w:rPr>
      </w:pPr>
      <w:r>
        <w:rPr>
          <w:sz w:val="22"/>
          <w:szCs w:val="22"/>
        </w:rPr>
        <w:t>Que igualmente es necesario establecer de manera expresa que el incumplimiento de las disposiciones del presente decreto dará lugar a la imposición de las infracciones y sanciones previstas en la normativa nacional, en especial en la Ley 769 de 2002 y normas que la modifiquen, adicionen o sustituyan, sin crear sanciones nuevas no previstas en la ley.</w:t>
      </w:r>
    </w:p>
    <w:p w14:paraId="26265473" w14:textId="77777777" w:rsidR="00EF0B38" w:rsidRDefault="00EF0B38">
      <w:pPr>
        <w:jc w:val="both"/>
        <w:rPr>
          <w:sz w:val="22"/>
          <w:szCs w:val="22"/>
        </w:rPr>
      </w:pPr>
    </w:p>
    <w:p w14:paraId="27827BB9" w14:textId="77777777" w:rsidR="00EF0B38" w:rsidRDefault="00EF0B38">
      <w:pPr>
        <w:jc w:val="both"/>
        <w:rPr>
          <w:sz w:val="22"/>
          <w:szCs w:val="22"/>
        </w:rPr>
      </w:pPr>
    </w:p>
    <w:p w14:paraId="53D127AC" w14:textId="77777777" w:rsidR="00EF0B38" w:rsidRDefault="00000000">
      <w:pPr>
        <w:jc w:val="both"/>
        <w:rPr>
          <w:sz w:val="22"/>
          <w:szCs w:val="22"/>
        </w:rPr>
      </w:pPr>
      <w:r>
        <w:rPr>
          <w:sz w:val="22"/>
          <w:szCs w:val="22"/>
        </w:rPr>
        <w:t>Que, en mérito de lo expuesto,</w:t>
      </w:r>
    </w:p>
    <w:p w14:paraId="19EBC58E" w14:textId="77777777" w:rsidR="00EF0B38" w:rsidRDefault="00EF0B38">
      <w:pPr>
        <w:jc w:val="both"/>
        <w:rPr>
          <w:b/>
          <w:bCs/>
          <w:sz w:val="22"/>
          <w:szCs w:val="22"/>
        </w:rPr>
      </w:pPr>
    </w:p>
    <w:p w14:paraId="0506AAC9" w14:textId="77777777" w:rsidR="00EF0B38" w:rsidRDefault="00000000">
      <w:pPr>
        <w:jc w:val="center"/>
        <w:rPr>
          <w:b/>
          <w:bCs/>
          <w:sz w:val="22"/>
          <w:szCs w:val="22"/>
        </w:rPr>
      </w:pPr>
      <w:r>
        <w:rPr>
          <w:b/>
          <w:bCs/>
          <w:sz w:val="22"/>
          <w:szCs w:val="22"/>
        </w:rPr>
        <w:t>DECRETA:</w:t>
      </w:r>
    </w:p>
    <w:p w14:paraId="6BD29E75" w14:textId="77777777" w:rsidR="00EF0B38" w:rsidRDefault="00EF0B38">
      <w:pPr>
        <w:jc w:val="both"/>
        <w:rPr>
          <w:sz w:val="22"/>
          <w:szCs w:val="22"/>
        </w:rPr>
      </w:pPr>
    </w:p>
    <w:p w14:paraId="0A15EC9D" w14:textId="77777777" w:rsidR="00EF0B38" w:rsidRDefault="00000000">
      <w:pPr>
        <w:jc w:val="both"/>
        <w:rPr>
          <w:b/>
          <w:bCs/>
          <w:sz w:val="22"/>
          <w:szCs w:val="22"/>
        </w:rPr>
      </w:pPr>
      <w:r>
        <w:rPr>
          <w:b/>
          <w:bCs/>
          <w:sz w:val="22"/>
          <w:szCs w:val="22"/>
        </w:rPr>
        <w:t>ARTÍCULO PRIMERO. ÁMBITO DE APLICACIÓN</w:t>
      </w:r>
    </w:p>
    <w:p w14:paraId="0622EB20" w14:textId="77777777" w:rsidR="00EF0B38" w:rsidRDefault="00000000">
      <w:pPr>
        <w:jc w:val="both"/>
        <w:rPr>
          <w:sz w:val="22"/>
          <w:szCs w:val="22"/>
        </w:rPr>
      </w:pPr>
      <w:r>
        <w:rPr>
          <w:sz w:val="22"/>
          <w:szCs w:val="22"/>
        </w:rPr>
        <w:lastRenderedPageBreak/>
        <w:t>El presente Decreto regula la actividad de cargue y descargue de mercancías en el Municipio de Cajicá, aplicable a todos los vehículos de transporte de carga, de servicio público o particular, que realicen operaciones en la jurisdicción municipal, en áreas urbanas, rurales y centros poblados.</w:t>
      </w:r>
    </w:p>
    <w:p w14:paraId="04A2E4EC" w14:textId="77777777" w:rsidR="00EF0B38" w:rsidRDefault="00EF0B38">
      <w:pPr>
        <w:jc w:val="both"/>
        <w:rPr>
          <w:sz w:val="22"/>
          <w:szCs w:val="22"/>
        </w:rPr>
      </w:pPr>
    </w:p>
    <w:p w14:paraId="7834F158" w14:textId="77777777" w:rsidR="00EF0B38" w:rsidRDefault="00000000">
      <w:pPr>
        <w:jc w:val="both"/>
        <w:rPr>
          <w:sz w:val="22"/>
          <w:szCs w:val="22"/>
        </w:rPr>
      </w:pPr>
      <w:r>
        <w:rPr>
          <w:b/>
          <w:bCs/>
          <w:sz w:val="22"/>
          <w:szCs w:val="22"/>
        </w:rPr>
        <w:t xml:space="preserve">ARTÍCULO SEGUNDO. DEFINICIONES. </w:t>
      </w:r>
      <w:r>
        <w:rPr>
          <w:sz w:val="22"/>
          <w:szCs w:val="22"/>
        </w:rPr>
        <w:t>Para la interpretación y aplicación del presente Decreto, se adoptan las siguientes definiciones, sin perjuicio de las previstas en la Ley 769 de 2002 y el Manual de Señalización Vial vigente:</w:t>
      </w:r>
    </w:p>
    <w:p w14:paraId="221BC557" w14:textId="77777777" w:rsidR="00EF0B38" w:rsidRDefault="00000000">
      <w:pPr>
        <w:numPr>
          <w:ilvl w:val="0"/>
          <w:numId w:val="2"/>
        </w:numPr>
        <w:pBdr>
          <w:top w:val="nil"/>
          <w:left w:val="nil"/>
          <w:bottom w:val="nil"/>
          <w:right w:val="nil"/>
          <w:between w:val="nil"/>
        </w:pBdr>
        <w:spacing w:line="259" w:lineRule="auto"/>
        <w:jc w:val="both"/>
        <w:rPr>
          <w:color w:val="000000"/>
          <w:sz w:val="22"/>
          <w:szCs w:val="22"/>
        </w:rPr>
      </w:pPr>
      <w:r>
        <w:rPr>
          <w:color w:val="000000"/>
          <w:sz w:val="22"/>
          <w:szCs w:val="22"/>
        </w:rPr>
        <w:t xml:space="preserve">Bahía de estacionamiento: Parte complementaria de la estructura de la vía utilizada como zona de transición entre la calzada y el andén, destinada al estacionamiento de vehículos. </w:t>
      </w:r>
    </w:p>
    <w:p w14:paraId="1E6E6490" w14:textId="77777777" w:rsidR="00EF0B38" w:rsidRDefault="00000000">
      <w:pPr>
        <w:numPr>
          <w:ilvl w:val="0"/>
          <w:numId w:val="2"/>
        </w:numPr>
        <w:pBdr>
          <w:top w:val="nil"/>
          <w:left w:val="nil"/>
          <w:bottom w:val="nil"/>
          <w:right w:val="nil"/>
          <w:between w:val="nil"/>
        </w:pBdr>
        <w:spacing w:line="259" w:lineRule="auto"/>
        <w:jc w:val="both"/>
        <w:rPr>
          <w:color w:val="000000"/>
          <w:sz w:val="22"/>
          <w:szCs w:val="22"/>
        </w:rPr>
      </w:pPr>
      <w:r>
        <w:rPr>
          <w:color w:val="000000"/>
          <w:sz w:val="22"/>
          <w:szCs w:val="22"/>
        </w:rPr>
        <w:t>Capacidad de carga: Es el máximo tonelaje autorizado en un vehículo, de tal forma que el peso bruto vehicular no exceda los límites establecidos.</w:t>
      </w:r>
    </w:p>
    <w:p w14:paraId="0C14A682" w14:textId="77777777" w:rsidR="00EF0B38" w:rsidRDefault="00000000">
      <w:pPr>
        <w:numPr>
          <w:ilvl w:val="0"/>
          <w:numId w:val="2"/>
        </w:numPr>
        <w:pBdr>
          <w:top w:val="nil"/>
          <w:left w:val="nil"/>
          <w:bottom w:val="nil"/>
          <w:right w:val="nil"/>
          <w:between w:val="nil"/>
        </w:pBdr>
        <w:spacing w:line="259" w:lineRule="auto"/>
        <w:jc w:val="both"/>
        <w:rPr>
          <w:color w:val="000000"/>
          <w:sz w:val="22"/>
          <w:szCs w:val="22"/>
        </w:rPr>
      </w:pPr>
      <w:r>
        <w:rPr>
          <w:color w:val="000000"/>
          <w:sz w:val="22"/>
          <w:szCs w:val="22"/>
        </w:rPr>
        <w:t xml:space="preserve">Cruce e intersección: Punto en el cual dos (2) o más vías se encuentran. </w:t>
      </w:r>
    </w:p>
    <w:p w14:paraId="0F447390" w14:textId="77777777" w:rsidR="00EF0B38" w:rsidRDefault="00000000">
      <w:pPr>
        <w:numPr>
          <w:ilvl w:val="0"/>
          <w:numId w:val="2"/>
        </w:numPr>
        <w:pBdr>
          <w:top w:val="nil"/>
          <w:left w:val="nil"/>
          <w:bottom w:val="nil"/>
          <w:right w:val="nil"/>
          <w:between w:val="nil"/>
        </w:pBdr>
        <w:spacing w:line="259" w:lineRule="auto"/>
        <w:jc w:val="both"/>
        <w:rPr>
          <w:color w:val="000000"/>
          <w:sz w:val="22"/>
          <w:szCs w:val="22"/>
        </w:rPr>
      </w:pPr>
      <w:r>
        <w:rPr>
          <w:color w:val="000000"/>
          <w:sz w:val="22"/>
          <w:szCs w:val="22"/>
        </w:rPr>
        <w:t>Estacionamiento: Sitio de parqueo autorizado por la autoridad de tránsito.</w:t>
      </w:r>
    </w:p>
    <w:p w14:paraId="501226D7" w14:textId="77777777" w:rsidR="00EF0B38" w:rsidRDefault="00000000">
      <w:pPr>
        <w:numPr>
          <w:ilvl w:val="0"/>
          <w:numId w:val="2"/>
        </w:numPr>
        <w:pBdr>
          <w:top w:val="nil"/>
          <w:left w:val="nil"/>
          <w:bottom w:val="nil"/>
          <w:right w:val="nil"/>
          <w:between w:val="nil"/>
        </w:pBdr>
        <w:spacing w:line="259" w:lineRule="auto"/>
        <w:jc w:val="both"/>
        <w:rPr>
          <w:color w:val="000000"/>
          <w:sz w:val="22"/>
          <w:szCs w:val="22"/>
        </w:rPr>
      </w:pPr>
      <w:r>
        <w:rPr>
          <w:color w:val="000000"/>
          <w:sz w:val="22"/>
          <w:szCs w:val="22"/>
        </w:rPr>
        <w:t xml:space="preserve">Parqueadero: Lugar público o privado destinado al estacionamiento de vehículos. </w:t>
      </w:r>
    </w:p>
    <w:p w14:paraId="6368E38A" w14:textId="77777777" w:rsidR="00EF0B38" w:rsidRDefault="00000000">
      <w:pPr>
        <w:numPr>
          <w:ilvl w:val="0"/>
          <w:numId w:val="2"/>
        </w:numPr>
        <w:pBdr>
          <w:top w:val="nil"/>
          <w:left w:val="nil"/>
          <w:bottom w:val="nil"/>
          <w:right w:val="nil"/>
          <w:between w:val="nil"/>
        </w:pBdr>
        <w:spacing w:line="259" w:lineRule="auto"/>
        <w:jc w:val="both"/>
        <w:rPr>
          <w:color w:val="000000"/>
          <w:sz w:val="22"/>
          <w:szCs w:val="22"/>
        </w:rPr>
      </w:pPr>
      <w:r>
        <w:rPr>
          <w:color w:val="000000"/>
          <w:sz w:val="22"/>
          <w:szCs w:val="22"/>
        </w:rPr>
        <w:t xml:space="preserve">Vía: Zona de uso público o privado, abierta al público, destinada al tránsito de vehículos, personas y animales. </w:t>
      </w:r>
    </w:p>
    <w:p w14:paraId="49EE1261" w14:textId="77777777" w:rsidR="00EF0B38" w:rsidRDefault="00000000">
      <w:pPr>
        <w:numPr>
          <w:ilvl w:val="0"/>
          <w:numId w:val="2"/>
        </w:numPr>
        <w:pBdr>
          <w:top w:val="nil"/>
          <w:left w:val="nil"/>
          <w:bottom w:val="nil"/>
          <w:right w:val="nil"/>
          <w:between w:val="nil"/>
        </w:pBdr>
        <w:spacing w:line="259" w:lineRule="auto"/>
        <w:jc w:val="both"/>
        <w:rPr>
          <w:color w:val="000000"/>
          <w:sz w:val="22"/>
          <w:szCs w:val="22"/>
        </w:rPr>
      </w:pPr>
      <w:r>
        <w:rPr>
          <w:color w:val="000000"/>
          <w:sz w:val="22"/>
          <w:szCs w:val="22"/>
        </w:rPr>
        <w:t xml:space="preserve">Vehículo: Todo aparato montado sobre ruedas que permite el transporte de personas, animales o cosas de un punto a otro por vía terrestre pública o privada abierta al público. </w:t>
      </w:r>
    </w:p>
    <w:p w14:paraId="4D43E6A2" w14:textId="77777777" w:rsidR="00EF0B38" w:rsidRDefault="00000000">
      <w:pPr>
        <w:numPr>
          <w:ilvl w:val="0"/>
          <w:numId w:val="2"/>
        </w:numPr>
        <w:pBdr>
          <w:top w:val="nil"/>
          <w:left w:val="nil"/>
          <w:bottom w:val="nil"/>
          <w:right w:val="nil"/>
          <w:between w:val="nil"/>
        </w:pBdr>
        <w:spacing w:line="259" w:lineRule="auto"/>
        <w:jc w:val="both"/>
        <w:rPr>
          <w:color w:val="000000"/>
          <w:sz w:val="22"/>
          <w:szCs w:val="22"/>
        </w:rPr>
      </w:pPr>
      <w:r>
        <w:rPr>
          <w:color w:val="000000"/>
          <w:sz w:val="22"/>
          <w:szCs w:val="22"/>
        </w:rPr>
        <w:t>Zona de estacionamiento restringido: Parte de la vía delimitada por autoridad competente en zonas adyacentes a instalaciones militares o de policía, teatros, bancos, hospitales, entidades oficiales y de socorro, iglesias, establecimientos industriales y comerciales, en la cual solo pueden estacionar los vehículos autorizados.</w:t>
      </w:r>
    </w:p>
    <w:p w14:paraId="40F3B50F" w14:textId="77777777" w:rsidR="00EF0B38" w:rsidRDefault="00000000">
      <w:pPr>
        <w:numPr>
          <w:ilvl w:val="0"/>
          <w:numId w:val="2"/>
        </w:numPr>
        <w:pBdr>
          <w:top w:val="nil"/>
          <w:left w:val="nil"/>
          <w:bottom w:val="nil"/>
          <w:right w:val="nil"/>
          <w:between w:val="nil"/>
        </w:pBdr>
        <w:spacing w:after="160" w:line="259" w:lineRule="auto"/>
        <w:jc w:val="both"/>
        <w:rPr>
          <w:color w:val="000000"/>
          <w:sz w:val="22"/>
          <w:szCs w:val="22"/>
        </w:rPr>
      </w:pPr>
      <w:r>
        <w:rPr>
          <w:color w:val="000000"/>
          <w:sz w:val="22"/>
          <w:szCs w:val="22"/>
        </w:rPr>
        <w:t>Plan de Manejo de Tránsito (PMT): Instrumento técnico y operativo mediante el cual se definen medidas, señalización y manejo de flujos de tránsito para minimizar impactos en la movilidad por la ejecución de obras o actividades que afecten la infraestructura vial.</w:t>
      </w:r>
    </w:p>
    <w:p w14:paraId="6075E2FA" w14:textId="77777777" w:rsidR="00EF0B38" w:rsidRDefault="00000000">
      <w:pPr>
        <w:jc w:val="both"/>
        <w:rPr>
          <w:sz w:val="22"/>
          <w:szCs w:val="22"/>
        </w:rPr>
      </w:pPr>
      <w:r>
        <w:rPr>
          <w:sz w:val="22"/>
          <w:szCs w:val="22"/>
        </w:rPr>
        <w:t>Las demás definiciones se regirán por el Código Nacional de Tránsito Terrestre y las normas que lo desarrollen.</w:t>
      </w:r>
    </w:p>
    <w:p w14:paraId="25918B8E" w14:textId="77777777" w:rsidR="00EF0B38" w:rsidRDefault="00EF0B38">
      <w:pPr>
        <w:jc w:val="both"/>
        <w:rPr>
          <w:sz w:val="22"/>
          <w:szCs w:val="22"/>
        </w:rPr>
      </w:pPr>
    </w:p>
    <w:p w14:paraId="5BA38E4A" w14:textId="77777777" w:rsidR="00EF0B38" w:rsidRDefault="00000000">
      <w:pPr>
        <w:jc w:val="both"/>
        <w:rPr>
          <w:sz w:val="22"/>
          <w:szCs w:val="22"/>
        </w:rPr>
      </w:pPr>
      <w:bookmarkStart w:id="1" w:name="_35qa4o9b3ay8" w:colFirst="0" w:colLast="0"/>
      <w:bookmarkEnd w:id="1"/>
      <w:r>
        <w:rPr>
          <w:b/>
          <w:bCs/>
          <w:sz w:val="22"/>
          <w:szCs w:val="22"/>
        </w:rPr>
        <w:t>ARTÍCULO TERCERO. CAPACIDAD DE CARGA PERMITIDA.</w:t>
      </w:r>
      <w:r>
        <w:rPr>
          <w:sz w:val="22"/>
          <w:szCs w:val="22"/>
        </w:rPr>
        <w:t xml:space="preserve"> Se autoriza la actividad de cargue y descargue únicamente para vehículos cuya capacidad de carga no exceda las cinco (5) toneladas, equivalentes a cinco mil (5.000) kilogramos.</w:t>
      </w:r>
    </w:p>
    <w:p w14:paraId="2C96A691" w14:textId="77777777" w:rsidR="00EF0B38" w:rsidRDefault="00EF0B38">
      <w:pPr>
        <w:jc w:val="both"/>
        <w:rPr>
          <w:b/>
          <w:bCs/>
          <w:sz w:val="22"/>
          <w:szCs w:val="22"/>
        </w:rPr>
      </w:pPr>
    </w:p>
    <w:p w14:paraId="2A80E1EB" w14:textId="77777777" w:rsidR="00EF0B38" w:rsidRDefault="00000000">
      <w:pPr>
        <w:jc w:val="both"/>
        <w:rPr>
          <w:sz w:val="22"/>
          <w:szCs w:val="22"/>
        </w:rPr>
      </w:pPr>
      <w:r>
        <w:rPr>
          <w:sz w:val="22"/>
          <w:szCs w:val="22"/>
        </w:rPr>
        <w:t>Esta condición aplica para todas las vías del municipio, independientemente de su clasificación, salvo las excepciones previstas en este Decreto o en normas especiales para proyectos de obra pública, obras privadas con PMT aprobado u operaciones logísticas de alto impacto debidamente autorizadas.</w:t>
      </w:r>
    </w:p>
    <w:p w14:paraId="2D67B4A9" w14:textId="77777777" w:rsidR="00EF0B38" w:rsidRDefault="00EF0B38">
      <w:pPr>
        <w:jc w:val="both"/>
        <w:rPr>
          <w:sz w:val="22"/>
          <w:szCs w:val="22"/>
        </w:rPr>
      </w:pPr>
    </w:p>
    <w:p w14:paraId="7E8A8B63" w14:textId="77777777" w:rsidR="00EF0B38" w:rsidRDefault="00000000">
      <w:pPr>
        <w:jc w:val="both"/>
        <w:rPr>
          <w:sz w:val="22"/>
          <w:szCs w:val="22"/>
        </w:rPr>
      </w:pPr>
      <w:r>
        <w:rPr>
          <w:b/>
          <w:bCs/>
          <w:sz w:val="22"/>
          <w:szCs w:val="22"/>
        </w:rPr>
        <w:t>ARTÍCULO CUARTO. HORARIOS GENERALES DE CARGUE Y DESCARGUE</w:t>
      </w:r>
      <w:r>
        <w:rPr>
          <w:sz w:val="22"/>
          <w:szCs w:val="22"/>
        </w:rPr>
        <w:t>. Se podrá realizar cargue o descargue en vehículos que no excedan las cinco (5) toneladas, equivalentes a cinco mil (5.000) kilogramos, respetando en cualquier caso las restricciones obligatorias de 8:00 a 11:00 a.m., de 2:00 p.m. a 4:00 p.m. y de 8:00 p.m. a 11:00 p.m.</w:t>
      </w:r>
    </w:p>
    <w:p w14:paraId="2412468F" w14:textId="77777777" w:rsidR="00EF0B38" w:rsidRDefault="00EF0B38">
      <w:pPr>
        <w:jc w:val="both"/>
        <w:rPr>
          <w:sz w:val="22"/>
          <w:szCs w:val="22"/>
        </w:rPr>
      </w:pPr>
    </w:p>
    <w:p w14:paraId="6C299D82" w14:textId="77777777" w:rsidR="00EF0B38" w:rsidRDefault="00000000">
      <w:pPr>
        <w:jc w:val="both"/>
        <w:rPr>
          <w:sz w:val="22"/>
          <w:szCs w:val="22"/>
        </w:rPr>
      </w:pPr>
      <w:r>
        <w:rPr>
          <w:b/>
          <w:bCs/>
          <w:sz w:val="22"/>
          <w:szCs w:val="22"/>
        </w:rPr>
        <w:t>Parágrafo 1.</w:t>
      </w:r>
      <w:r>
        <w:rPr>
          <w:sz w:val="22"/>
          <w:szCs w:val="22"/>
        </w:rPr>
        <w:t xml:space="preserve"> El vehículo en el que no esté presente su respectivo conductor y no tenga abiertas las puertas de la carrocería que den cuenta de labores de cargue o descargue se considerará que ha sido abandonado y podrá ser inmovilizado por la Policía de Tránsito, siguiendo el procedimiento que las normas establecen.</w:t>
      </w:r>
    </w:p>
    <w:p w14:paraId="138C81F6" w14:textId="77777777" w:rsidR="00EF0B38" w:rsidRDefault="00EF0B38">
      <w:pPr>
        <w:jc w:val="both"/>
        <w:rPr>
          <w:sz w:val="22"/>
          <w:szCs w:val="22"/>
        </w:rPr>
      </w:pPr>
    </w:p>
    <w:p w14:paraId="106265E7" w14:textId="77777777" w:rsidR="00EF0B38" w:rsidRDefault="00000000">
      <w:pPr>
        <w:jc w:val="both"/>
        <w:rPr>
          <w:sz w:val="22"/>
          <w:szCs w:val="22"/>
        </w:rPr>
      </w:pPr>
      <w:r>
        <w:rPr>
          <w:b/>
          <w:bCs/>
          <w:sz w:val="22"/>
          <w:szCs w:val="22"/>
        </w:rPr>
        <w:t>Parágrafo 2.</w:t>
      </w:r>
      <w:r>
        <w:rPr>
          <w:sz w:val="22"/>
          <w:szCs w:val="22"/>
        </w:rPr>
        <w:t xml:space="preserve"> Para empresas, bodegas y centros de acopio asentados en zonas rurales, centros poblados y zonas adyacentes al sector urbano, cuando no se requiera ocupar vías urbanas y solo se ocupen caminos veredales, se deberá contar con autorización expresa del la Secretaría de tránsito, transporte y Movilidad y  concertar con la comunidad vecina los horarios y rutas destinadas para el tránsito de vehículos que ingresan y salen, buscando en lo posible la distancia más corta a vías de alto tráfico como la variante Cajicá - Zipaquirá y la vía Molino - Manas. Se deberá suscribir un acta </w:t>
      </w:r>
      <w:r>
        <w:rPr>
          <w:sz w:val="22"/>
          <w:szCs w:val="22"/>
        </w:rPr>
        <w:lastRenderedPageBreak/>
        <w:t>conjunta entre representantes de las empresas, la comunidad (Junta de Acción Comunal) y las instituciones de la ruta, con presencia de la Secretaría de Transporte y Movilidad para verificar el cumplimiento de las normas de tránsito y el manual de señalización vial vigente.</w:t>
      </w:r>
    </w:p>
    <w:p w14:paraId="29EC16DA" w14:textId="77777777" w:rsidR="00EF0B38" w:rsidRDefault="00EF0B38">
      <w:pPr>
        <w:jc w:val="both"/>
        <w:rPr>
          <w:color w:val="FF0000"/>
          <w:sz w:val="22"/>
          <w:szCs w:val="22"/>
        </w:rPr>
      </w:pPr>
    </w:p>
    <w:p w14:paraId="61356B0E" w14:textId="77777777" w:rsidR="00EF0B38" w:rsidRDefault="00000000">
      <w:pPr>
        <w:jc w:val="both"/>
        <w:rPr>
          <w:sz w:val="22"/>
          <w:szCs w:val="22"/>
        </w:rPr>
      </w:pPr>
      <w:r>
        <w:rPr>
          <w:b/>
          <w:bCs/>
          <w:sz w:val="22"/>
          <w:szCs w:val="22"/>
        </w:rPr>
        <w:t>ARTÍCULO QUINTO. CONDICIONES GENERALES Y TÉCNICAS DE OPERACIÓN.</w:t>
      </w:r>
      <w:r>
        <w:rPr>
          <w:sz w:val="22"/>
          <w:szCs w:val="22"/>
        </w:rPr>
        <w:t xml:space="preserve"> Las actividades de cargue y descargue deberán:</w:t>
      </w:r>
    </w:p>
    <w:p w14:paraId="5958EB53" w14:textId="77777777" w:rsidR="00EF0B38" w:rsidRDefault="00EF0B38">
      <w:pPr>
        <w:jc w:val="both"/>
        <w:rPr>
          <w:b/>
          <w:bCs/>
          <w:sz w:val="22"/>
          <w:szCs w:val="22"/>
        </w:rPr>
      </w:pPr>
    </w:p>
    <w:p w14:paraId="4348B6EE" w14:textId="77777777" w:rsidR="00EF0B38" w:rsidRDefault="00000000">
      <w:pPr>
        <w:numPr>
          <w:ilvl w:val="0"/>
          <w:numId w:val="1"/>
        </w:numPr>
        <w:pBdr>
          <w:top w:val="nil"/>
          <w:left w:val="nil"/>
          <w:bottom w:val="nil"/>
          <w:right w:val="nil"/>
          <w:between w:val="nil"/>
        </w:pBdr>
        <w:spacing w:line="259" w:lineRule="auto"/>
        <w:jc w:val="both"/>
        <w:rPr>
          <w:color w:val="000000"/>
          <w:sz w:val="22"/>
          <w:szCs w:val="22"/>
        </w:rPr>
      </w:pPr>
      <w:r>
        <w:rPr>
          <w:sz w:val="22"/>
          <w:szCs w:val="22"/>
        </w:rPr>
        <w:t>Realizar de</w:t>
      </w:r>
      <w:r>
        <w:rPr>
          <w:color w:val="000000"/>
          <w:sz w:val="22"/>
          <w:szCs w:val="22"/>
        </w:rPr>
        <w:t xml:space="preserve"> manera ágil, continua, segura y eficiente.</w:t>
      </w:r>
    </w:p>
    <w:p w14:paraId="579E91E4" w14:textId="77777777" w:rsidR="00EF0B38" w:rsidRDefault="00000000">
      <w:pPr>
        <w:numPr>
          <w:ilvl w:val="0"/>
          <w:numId w:val="1"/>
        </w:numPr>
        <w:pBdr>
          <w:top w:val="nil"/>
          <w:left w:val="nil"/>
          <w:bottom w:val="nil"/>
          <w:right w:val="nil"/>
          <w:between w:val="nil"/>
        </w:pBdr>
        <w:spacing w:line="259" w:lineRule="auto"/>
        <w:jc w:val="both"/>
        <w:rPr>
          <w:color w:val="000000"/>
          <w:sz w:val="22"/>
          <w:szCs w:val="22"/>
        </w:rPr>
      </w:pPr>
      <w:r>
        <w:rPr>
          <w:color w:val="000000"/>
          <w:sz w:val="22"/>
          <w:szCs w:val="22"/>
        </w:rPr>
        <w:t>Estar debidamente señalizadas conforme al Manual de Señalización Vial vigente. Resolución 20243040045005 del 17 de septiembre de 2024.</w:t>
      </w:r>
    </w:p>
    <w:p w14:paraId="794FB1F7" w14:textId="77777777" w:rsidR="00EF0B38" w:rsidRDefault="00000000">
      <w:pPr>
        <w:numPr>
          <w:ilvl w:val="0"/>
          <w:numId w:val="1"/>
        </w:numPr>
        <w:pBdr>
          <w:top w:val="nil"/>
          <w:left w:val="nil"/>
          <w:bottom w:val="nil"/>
          <w:right w:val="nil"/>
          <w:between w:val="nil"/>
        </w:pBdr>
        <w:spacing w:line="259" w:lineRule="auto"/>
        <w:jc w:val="both"/>
        <w:rPr>
          <w:color w:val="000000"/>
          <w:sz w:val="22"/>
          <w:szCs w:val="22"/>
        </w:rPr>
      </w:pPr>
      <w:r>
        <w:rPr>
          <w:color w:val="000000"/>
          <w:sz w:val="22"/>
          <w:szCs w:val="22"/>
        </w:rPr>
        <w:t>Implementar dispositivos de señalización preventiva, reglamentaria e informativa, incluyendo conos, delineadores, señales verticales y horizontales según aplique.</w:t>
      </w:r>
    </w:p>
    <w:p w14:paraId="016B3E48" w14:textId="77777777" w:rsidR="00EF0B38" w:rsidRDefault="00000000">
      <w:pPr>
        <w:numPr>
          <w:ilvl w:val="0"/>
          <w:numId w:val="1"/>
        </w:numPr>
        <w:pBdr>
          <w:top w:val="nil"/>
          <w:left w:val="nil"/>
          <w:bottom w:val="nil"/>
          <w:right w:val="nil"/>
          <w:between w:val="nil"/>
        </w:pBdr>
        <w:spacing w:line="259" w:lineRule="auto"/>
        <w:jc w:val="both"/>
        <w:rPr>
          <w:color w:val="000000"/>
          <w:sz w:val="22"/>
          <w:szCs w:val="22"/>
        </w:rPr>
      </w:pPr>
      <w:r>
        <w:rPr>
          <w:color w:val="000000"/>
          <w:sz w:val="22"/>
          <w:szCs w:val="22"/>
        </w:rPr>
        <w:t>Garantizar la seguridad de peatones, ciclistas y demás actores viales, disponiendo personal de apoyo cuando las condiciones de visibilidad o flujo vehicular así lo requieran.</w:t>
      </w:r>
    </w:p>
    <w:p w14:paraId="0A40F2B4" w14:textId="77777777" w:rsidR="00EF0B38" w:rsidRDefault="00000000">
      <w:pPr>
        <w:numPr>
          <w:ilvl w:val="0"/>
          <w:numId w:val="1"/>
        </w:numPr>
        <w:pBdr>
          <w:top w:val="nil"/>
          <w:left w:val="nil"/>
          <w:bottom w:val="nil"/>
          <w:right w:val="nil"/>
          <w:between w:val="nil"/>
        </w:pBdr>
        <w:spacing w:line="259" w:lineRule="auto"/>
        <w:jc w:val="both"/>
        <w:rPr>
          <w:color w:val="000000"/>
          <w:sz w:val="22"/>
          <w:szCs w:val="22"/>
        </w:rPr>
      </w:pPr>
      <w:r>
        <w:rPr>
          <w:color w:val="000000"/>
          <w:sz w:val="22"/>
          <w:szCs w:val="22"/>
        </w:rPr>
        <w:t>Evitar la obstrucción de la vía pública, de intersecciones, pasos peatonales, ciclorrutas, accesos a predios, hidrantes, bahías de transporte público y zonas de seguridad.</w:t>
      </w:r>
    </w:p>
    <w:p w14:paraId="78AB8CC0" w14:textId="77777777" w:rsidR="00EF0B38" w:rsidRDefault="00000000">
      <w:pPr>
        <w:numPr>
          <w:ilvl w:val="0"/>
          <w:numId w:val="1"/>
        </w:numPr>
        <w:pBdr>
          <w:top w:val="nil"/>
          <w:left w:val="nil"/>
          <w:bottom w:val="nil"/>
          <w:right w:val="nil"/>
          <w:between w:val="nil"/>
        </w:pBdr>
        <w:spacing w:after="160" w:line="259" w:lineRule="auto"/>
        <w:jc w:val="both"/>
        <w:rPr>
          <w:color w:val="000000"/>
          <w:sz w:val="22"/>
          <w:szCs w:val="22"/>
        </w:rPr>
      </w:pPr>
      <w:r>
        <w:rPr>
          <w:color w:val="000000"/>
          <w:sz w:val="22"/>
          <w:szCs w:val="22"/>
        </w:rPr>
        <w:t>Ejecutarse bajo condiciones que mitiguen impactos ambientales, acústicos y operativos en el entorno urbano, especialmente en horarios de menor sensibilidad para la comunidad.</w:t>
      </w:r>
    </w:p>
    <w:p w14:paraId="68439147" w14:textId="77777777" w:rsidR="00EF0B38" w:rsidRDefault="00000000">
      <w:pPr>
        <w:jc w:val="both"/>
        <w:rPr>
          <w:sz w:val="22"/>
          <w:szCs w:val="22"/>
        </w:rPr>
      </w:pPr>
      <w:r>
        <w:rPr>
          <w:sz w:val="22"/>
          <w:szCs w:val="22"/>
        </w:rPr>
        <w:t>En horario nocturno, la señalización deberá ser visible, reflectiva o luminosa, de acuerdo con los parámetros técnicos establecidos en el Manual de Señalización Vial vigente.</w:t>
      </w:r>
    </w:p>
    <w:p w14:paraId="03294C0E" w14:textId="77777777" w:rsidR="00EF0B38" w:rsidRDefault="00EF0B38">
      <w:pPr>
        <w:jc w:val="both"/>
        <w:rPr>
          <w:sz w:val="22"/>
          <w:szCs w:val="22"/>
        </w:rPr>
      </w:pPr>
    </w:p>
    <w:p w14:paraId="625760D8" w14:textId="77777777" w:rsidR="00EF0B38" w:rsidRDefault="00000000">
      <w:pPr>
        <w:jc w:val="both"/>
        <w:rPr>
          <w:sz w:val="22"/>
          <w:szCs w:val="22"/>
        </w:rPr>
      </w:pPr>
      <w:r>
        <w:rPr>
          <w:b/>
          <w:bCs/>
          <w:sz w:val="22"/>
          <w:szCs w:val="22"/>
        </w:rPr>
        <w:t>ARTÍCULO SEXTO. USO DEL ESPACIO PÚBLICO Y BAHÍAS.</w:t>
      </w:r>
      <w:r>
        <w:rPr>
          <w:sz w:val="22"/>
          <w:szCs w:val="22"/>
        </w:rPr>
        <w:t xml:space="preserve"> Cuando existan bahías, zonas demarcadas o espacios expresamente autorizados por la autoridad de tránsito para estas operaciones, deberán utilizarse de manera prioritaria para el cargue y descargue.</w:t>
      </w:r>
    </w:p>
    <w:p w14:paraId="4D2B1B4F" w14:textId="77777777" w:rsidR="00EF0B38" w:rsidRDefault="00EF0B38">
      <w:pPr>
        <w:jc w:val="both"/>
        <w:rPr>
          <w:b/>
          <w:bCs/>
          <w:sz w:val="22"/>
          <w:szCs w:val="22"/>
        </w:rPr>
      </w:pPr>
    </w:p>
    <w:p w14:paraId="09C37234" w14:textId="77777777" w:rsidR="00EF0B38" w:rsidRDefault="00000000">
      <w:pPr>
        <w:jc w:val="both"/>
        <w:rPr>
          <w:sz w:val="22"/>
          <w:szCs w:val="22"/>
        </w:rPr>
      </w:pPr>
      <w:r>
        <w:rPr>
          <w:sz w:val="22"/>
          <w:szCs w:val="22"/>
        </w:rPr>
        <w:t>En ausencia de tales zonas, las actividades de cargue y descargue solo podrán realizarse sobre la vía cuando no se afecte la circulación, no se invadan zonas prohibidas por la ley y se garantice la seguridad de los usuarios de la vía.</w:t>
      </w:r>
    </w:p>
    <w:p w14:paraId="2A00F9D4" w14:textId="77777777" w:rsidR="00EF0B38" w:rsidRDefault="00EF0B38">
      <w:pPr>
        <w:jc w:val="both"/>
        <w:rPr>
          <w:sz w:val="22"/>
          <w:szCs w:val="22"/>
        </w:rPr>
      </w:pPr>
    </w:p>
    <w:p w14:paraId="027CF1B1" w14:textId="77777777" w:rsidR="00EF0B38" w:rsidRDefault="00000000">
      <w:pPr>
        <w:jc w:val="both"/>
        <w:rPr>
          <w:sz w:val="22"/>
          <w:szCs w:val="22"/>
        </w:rPr>
      </w:pPr>
      <w:r>
        <w:rPr>
          <w:sz w:val="22"/>
          <w:szCs w:val="22"/>
        </w:rPr>
        <w:t>En ningún caso los establecimientos de comercio podrán apropiarse del espacio público frente a sus locales para estacionamiento exclusivo o permanente de vehículos, ni para uso exclusivo de cargue y descargue, salvo autorización expresa de la autoridad competente.</w:t>
      </w:r>
    </w:p>
    <w:p w14:paraId="0E50C535" w14:textId="77777777" w:rsidR="00EF0B38" w:rsidRDefault="00EF0B38">
      <w:pPr>
        <w:jc w:val="both"/>
        <w:rPr>
          <w:sz w:val="22"/>
          <w:szCs w:val="22"/>
        </w:rPr>
      </w:pPr>
    </w:p>
    <w:p w14:paraId="4BAA34AF" w14:textId="77777777" w:rsidR="00EF0B38" w:rsidRDefault="00EF0B38">
      <w:pPr>
        <w:jc w:val="both"/>
        <w:rPr>
          <w:sz w:val="22"/>
          <w:szCs w:val="22"/>
        </w:rPr>
      </w:pPr>
    </w:p>
    <w:p w14:paraId="5BB3F16B" w14:textId="77777777" w:rsidR="00EF0B38" w:rsidRDefault="00000000">
      <w:pPr>
        <w:jc w:val="both"/>
        <w:rPr>
          <w:b/>
          <w:bCs/>
          <w:sz w:val="22"/>
          <w:szCs w:val="22"/>
        </w:rPr>
      </w:pPr>
      <w:r>
        <w:rPr>
          <w:b/>
          <w:bCs/>
          <w:sz w:val="22"/>
          <w:szCs w:val="22"/>
        </w:rPr>
        <w:t xml:space="preserve">ARTÍCULO SÉPTIMO. PROHIBICIONES. </w:t>
      </w:r>
      <w:r>
        <w:rPr>
          <w:sz w:val="22"/>
          <w:szCs w:val="22"/>
        </w:rPr>
        <w:t>Se prohíbe:</w:t>
      </w:r>
    </w:p>
    <w:p w14:paraId="21417987" w14:textId="77777777" w:rsidR="00EF0B38" w:rsidRDefault="00000000">
      <w:pPr>
        <w:numPr>
          <w:ilvl w:val="0"/>
          <w:numId w:val="3"/>
        </w:numPr>
        <w:pBdr>
          <w:top w:val="nil"/>
          <w:left w:val="nil"/>
          <w:bottom w:val="nil"/>
          <w:right w:val="nil"/>
          <w:between w:val="nil"/>
        </w:pBdr>
        <w:spacing w:line="259" w:lineRule="auto"/>
        <w:jc w:val="both"/>
        <w:rPr>
          <w:color w:val="000000"/>
          <w:sz w:val="22"/>
          <w:szCs w:val="22"/>
        </w:rPr>
      </w:pPr>
      <w:r>
        <w:rPr>
          <w:color w:val="000000"/>
          <w:sz w:val="22"/>
          <w:szCs w:val="22"/>
        </w:rPr>
        <w:t>Realizar cargue y descargue en los sitios prohibidos por el artículo 76 de la Ley 769 de 2002 y demás normas vigentes, tales como intersecciones, curvas, pasos peatonales, zonas de seguridad, frente a hidrantes y accesos a garajes.</w:t>
      </w:r>
    </w:p>
    <w:p w14:paraId="67DFF9D8" w14:textId="77777777" w:rsidR="00EF0B38" w:rsidRDefault="00000000">
      <w:pPr>
        <w:numPr>
          <w:ilvl w:val="0"/>
          <w:numId w:val="3"/>
        </w:numPr>
        <w:pBdr>
          <w:top w:val="nil"/>
          <w:left w:val="nil"/>
          <w:bottom w:val="nil"/>
          <w:right w:val="nil"/>
          <w:between w:val="nil"/>
        </w:pBdr>
        <w:spacing w:line="259" w:lineRule="auto"/>
        <w:jc w:val="both"/>
        <w:rPr>
          <w:color w:val="000000"/>
          <w:sz w:val="22"/>
          <w:szCs w:val="22"/>
        </w:rPr>
      </w:pPr>
      <w:r>
        <w:rPr>
          <w:color w:val="000000"/>
          <w:sz w:val="22"/>
          <w:szCs w:val="22"/>
        </w:rPr>
        <w:t>Exceder la capacidad máxima de carga establecida en el artículo tercero del presente Decreto.</w:t>
      </w:r>
    </w:p>
    <w:p w14:paraId="1680D074" w14:textId="77777777" w:rsidR="00EF0B38" w:rsidRDefault="00000000">
      <w:pPr>
        <w:numPr>
          <w:ilvl w:val="0"/>
          <w:numId w:val="3"/>
        </w:numPr>
        <w:pBdr>
          <w:top w:val="nil"/>
          <w:left w:val="nil"/>
          <w:bottom w:val="nil"/>
          <w:right w:val="nil"/>
          <w:between w:val="nil"/>
        </w:pBdr>
        <w:spacing w:line="259" w:lineRule="auto"/>
        <w:jc w:val="both"/>
        <w:rPr>
          <w:color w:val="000000"/>
          <w:sz w:val="22"/>
          <w:szCs w:val="22"/>
        </w:rPr>
      </w:pPr>
      <w:r>
        <w:rPr>
          <w:color w:val="000000"/>
          <w:sz w:val="22"/>
          <w:szCs w:val="22"/>
        </w:rPr>
        <w:t>Estacionar en doble fila o en contravía para realizar operaciones de cargue y descargue.</w:t>
      </w:r>
    </w:p>
    <w:p w14:paraId="66C9A4B7" w14:textId="77777777" w:rsidR="00EF0B38" w:rsidRDefault="00000000">
      <w:pPr>
        <w:numPr>
          <w:ilvl w:val="0"/>
          <w:numId w:val="3"/>
        </w:numPr>
        <w:pBdr>
          <w:top w:val="nil"/>
          <w:left w:val="nil"/>
          <w:bottom w:val="nil"/>
          <w:right w:val="nil"/>
          <w:between w:val="nil"/>
        </w:pBdr>
        <w:spacing w:line="259" w:lineRule="auto"/>
        <w:jc w:val="both"/>
        <w:rPr>
          <w:color w:val="000000"/>
          <w:sz w:val="22"/>
          <w:szCs w:val="22"/>
        </w:rPr>
      </w:pPr>
      <w:r>
        <w:rPr>
          <w:color w:val="000000"/>
          <w:sz w:val="22"/>
          <w:szCs w:val="22"/>
        </w:rPr>
        <w:t>Ocupar indebidamente el espacio público generando afectación a la movilidad o a la seguridad vial.</w:t>
      </w:r>
    </w:p>
    <w:p w14:paraId="60C0F19F" w14:textId="77777777" w:rsidR="00EF0B38" w:rsidRDefault="00000000">
      <w:pPr>
        <w:numPr>
          <w:ilvl w:val="0"/>
          <w:numId w:val="3"/>
        </w:numPr>
        <w:pBdr>
          <w:top w:val="nil"/>
          <w:left w:val="nil"/>
          <w:bottom w:val="nil"/>
          <w:right w:val="nil"/>
          <w:between w:val="nil"/>
        </w:pBdr>
        <w:spacing w:after="160" w:line="259" w:lineRule="auto"/>
        <w:jc w:val="both"/>
        <w:rPr>
          <w:color w:val="000000"/>
          <w:sz w:val="22"/>
          <w:szCs w:val="22"/>
        </w:rPr>
      </w:pPr>
      <w:r>
        <w:rPr>
          <w:color w:val="000000"/>
          <w:sz w:val="22"/>
          <w:szCs w:val="22"/>
        </w:rPr>
        <w:t>Utilizar las bahías o zonas de cargue y descargue para estacionamiento permanente de vehículos que no estén realizando dicha actividad.</w:t>
      </w:r>
    </w:p>
    <w:p w14:paraId="6502453D" w14:textId="77777777" w:rsidR="00EF0B38" w:rsidRDefault="00EF0B38">
      <w:pPr>
        <w:jc w:val="both"/>
        <w:rPr>
          <w:sz w:val="22"/>
          <w:szCs w:val="22"/>
        </w:rPr>
      </w:pPr>
    </w:p>
    <w:p w14:paraId="23272541" w14:textId="77777777" w:rsidR="00EF0B38" w:rsidRDefault="00000000">
      <w:pPr>
        <w:jc w:val="both"/>
        <w:rPr>
          <w:b/>
          <w:bCs/>
          <w:sz w:val="22"/>
          <w:szCs w:val="22"/>
        </w:rPr>
      </w:pPr>
      <w:r>
        <w:rPr>
          <w:b/>
          <w:bCs/>
          <w:sz w:val="22"/>
          <w:szCs w:val="22"/>
        </w:rPr>
        <w:t xml:space="preserve">ARTÍCULO OCTAVO. EXCEPCIONES. </w:t>
      </w:r>
      <w:r>
        <w:rPr>
          <w:sz w:val="22"/>
          <w:szCs w:val="22"/>
        </w:rPr>
        <w:t>Se exceptúan de la restricción:</w:t>
      </w:r>
    </w:p>
    <w:p w14:paraId="2FCCFE43" w14:textId="77777777" w:rsidR="00EF0B38" w:rsidRDefault="00000000">
      <w:pPr>
        <w:numPr>
          <w:ilvl w:val="0"/>
          <w:numId w:val="4"/>
        </w:numPr>
        <w:pBdr>
          <w:top w:val="nil"/>
          <w:left w:val="nil"/>
          <w:bottom w:val="nil"/>
          <w:right w:val="nil"/>
          <w:between w:val="nil"/>
        </w:pBdr>
        <w:spacing w:line="259" w:lineRule="auto"/>
        <w:jc w:val="both"/>
        <w:rPr>
          <w:color w:val="000000"/>
          <w:sz w:val="22"/>
          <w:szCs w:val="22"/>
        </w:rPr>
      </w:pPr>
      <w:r>
        <w:rPr>
          <w:color w:val="000000"/>
          <w:sz w:val="22"/>
          <w:szCs w:val="22"/>
        </w:rPr>
        <w:t>Vehículos de emergencia.</w:t>
      </w:r>
    </w:p>
    <w:p w14:paraId="66432D66" w14:textId="77777777" w:rsidR="00EF0B38" w:rsidRDefault="00000000">
      <w:pPr>
        <w:numPr>
          <w:ilvl w:val="0"/>
          <w:numId w:val="4"/>
        </w:numPr>
        <w:pBdr>
          <w:top w:val="nil"/>
          <w:left w:val="nil"/>
          <w:bottom w:val="nil"/>
          <w:right w:val="nil"/>
          <w:between w:val="nil"/>
        </w:pBdr>
        <w:spacing w:line="259" w:lineRule="auto"/>
        <w:jc w:val="both"/>
        <w:rPr>
          <w:color w:val="000000"/>
          <w:sz w:val="22"/>
          <w:szCs w:val="22"/>
        </w:rPr>
      </w:pPr>
      <w:r>
        <w:rPr>
          <w:color w:val="000000"/>
          <w:sz w:val="22"/>
          <w:szCs w:val="22"/>
        </w:rPr>
        <w:t>Vehículos de la empresa de servicios públicos en misión (Ej.: Recolectores.)</w:t>
      </w:r>
    </w:p>
    <w:p w14:paraId="3A3192D3" w14:textId="77777777" w:rsidR="00EF0B38" w:rsidRDefault="00000000">
      <w:pPr>
        <w:numPr>
          <w:ilvl w:val="0"/>
          <w:numId w:val="4"/>
        </w:numPr>
        <w:pBdr>
          <w:top w:val="nil"/>
          <w:left w:val="nil"/>
          <w:bottom w:val="nil"/>
          <w:right w:val="nil"/>
          <w:between w:val="nil"/>
        </w:pBdr>
        <w:spacing w:line="259" w:lineRule="auto"/>
        <w:jc w:val="both"/>
        <w:rPr>
          <w:color w:val="000000"/>
          <w:sz w:val="22"/>
          <w:szCs w:val="22"/>
        </w:rPr>
      </w:pPr>
      <w:r>
        <w:rPr>
          <w:color w:val="000000"/>
          <w:sz w:val="22"/>
          <w:szCs w:val="22"/>
        </w:rPr>
        <w:t>Vehículos de servicios públicos domiciliarios en cumplimiento de su función.</w:t>
      </w:r>
    </w:p>
    <w:p w14:paraId="1ADA6A4B" w14:textId="77777777" w:rsidR="00EF0B38" w:rsidRDefault="00000000">
      <w:pPr>
        <w:numPr>
          <w:ilvl w:val="0"/>
          <w:numId w:val="4"/>
        </w:numPr>
        <w:pBdr>
          <w:top w:val="nil"/>
          <w:left w:val="nil"/>
          <w:bottom w:val="nil"/>
          <w:right w:val="nil"/>
          <w:between w:val="nil"/>
        </w:pBdr>
        <w:spacing w:line="259" w:lineRule="auto"/>
        <w:jc w:val="both"/>
        <w:rPr>
          <w:color w:val="000000"/>
          <w:sz w:val="22"/>
          <w:szCs w:val="22"/>
        </w:rPr>
      </w:pPr>
      <w:r>
        <w:rPr>
          <w:color w:val="000000"/>
          <w:sz w:val="22"/>
          <w:szCs w:val="22"/>
        </w:rPr>
        <w:t>Vehículos destinados a obras públicas que adelanta el Municipio, por sí o a través de terceros, que cuenten con Plan de Manejo de Tránsito (PMT) aprobado y vigente.</w:t>
      </w:r>
    </w:p>
    <w:p w14:paraId="482C7738" w14:textId="77777777" w:rsidR="00EF0B38" w:rsidRDefault="00000000">
      <w:pPr>
        <w:numPr>
          <w:ilvl w:val="0"/>
          <w:numId w:val="4"/>
        </w:numPr>
        <w:pBdr>
          <w:top w:val="nil"/>
          <w:left w:val="nil"/>
          <w:bottom w:val="nil"/>
          <w:right w:val="nil"/>
          <w:between w:val="nil"/>
        </w:pBdr>
        <w:spacing w:after="160" w:line="259" w:lineRule="auto"/>
        <w:jc w:val="both"/>
        <w:rPr>
          <w:color w:val="000000"/>
          <w:sz w:val="22"/>
          <w:szCs w:val="22"/>
        </w:rPr>
      </w:pPr>
      <w:r>
        <w:rPr>
          <w:color w:val="000000"/>
          <w:sz w:val="22"/>
          <w:szCs w:val="22"/>
        </w:rPr>
        <w:lastRenderedPageBreak/>
        <w:t>Vehículos vinculados a obras privadas que cuenten con PMT aprobado por la autoridad competente, en el cual se definan horarios, rutas y condiciones para el cargue y descargue.</w:t>
      </w:r>
    </w:p>
    <w:p w14:paraId="6CE66D1E" w14:textId="77777777" w:rsidR="00EF0B38" w:rsidRDefault="00EF0B38">
      <w:pPr>
        <w:jc w:val="both"/>
        <w:rPr>
          <w:sz w:val="22"/>
          <w:szCs w:val="22"/>
        </w:rPr>
      </w:pPr>
    </w:p>
    <w:p w14:paraId="5EF50691" w14:textId="77777777" w:rsidR="00EF0B38" w:rsidRDefault="00000000">
      <w:pPr>
        <w:jc w:val="both"/>
        <w:rPr>
          <w:sz w:val="22"/>
          <w:szCs w:val="22"/>
        </w:rPr>
      </w:pPr>
      <w:r>
        <w:rPr>
          <w:b/>
          <w:bCs/>
          <w:sz w:val="22"/>
          <w:szCs w:val="22"/>
        </w:rPr>
        <w:t>ARTÍCULO NOVENO. PLANES DE MANEJO DE TRÁNSITO –PMT</w:t>
      </w:r>
      <w:r>
        <w:rPr>
          <w:sz w:val="22"/>
          <w:szCs w:val="22"/>
        </w:rPr>
        <w:t>. Toda persona natural o jurídica, pública o privada, que con ocasión de trabajos de obra civil o actividades afines requiera vehículos para el suministro de materiales o la remoción de residuos que afecten el transporte y la movilidad por las vías públicas, deberá contar con la aprobación de un Plan de Manejo de Tránsito (PMT), conforme al artículo 101 de la Ley 769 de 2002 y normas concordantes.</w:t>
      </w:r>
    </w:p>
    <w:p w14:paraId="7909CD74" w14:textId="77777777" w:rsidR="00EF0B38" w:rsidRDefault="00000000">
      <w:pPr>
        <w:jc w:val="both"/>
        <w:rPr>
          <w:sz w:val="22"/>
          <w:szCs w:val="22"/>
        </w:rPr>
      </w:pPr>
      <w:r>
        <w:rPr>
          <w:sz w:val="22"/>
          <w:szCs w:val="22"/>
        </w:rPr>
        <w:t>La Secretaría de Tránsito, Transporte y Movilidad será la encargada de proyectar el acto administrativo mediante el cual se apruebe el PMT cuando se trate de proyectos urbanísticos o de infraestructura de alto y mediano impacto, o de autorizar la afectación de vías y la ubicación de vehículos para obras de bajo impacto, cuando ello proceda.</w:t>
      </w:r>
    </w:p>
    <w:p w14:paraId="081BC0BF" w14:textId="77777777" w:rsidR="00EF0B38" w:rsidRDefault="00000000">
      <w:pPr>
        <w:jc w:val="both"/>
        <w:rPr>
          <w:sz w:val="22"/>
          <w:szCs w:val="22"/>
        </w:rPr>
      </w:pPr>
      <w:r>
        <w:rPr>
          <w:sz w:val="22"/>
          <w:szCs w:val="22"/>
        </w:rPr>
        <w:t>El responsable de la obra deberá dar estricto cumplimiento a las órdenes e indicaciones consignadas en el PMT y responderá por su incumplimiento, dejando las vías utilizadas en iguales o mejores condiciones a las inicialmente encontradas.</w:t>
      </w:r>
    </w:p>
    <w:p w14:paraId="2BBE1E8E" w14:textId="77777777" w:rsidR="00EF0B38" w:rsidRDefault="00EF0B38">
      <w:pPr>
        <w:jc w:val="both"/>
        <w:rPr>
          <w:sz w:val="22"/>
          <w:szCs w:val="22"/>
        </w:rPr>
      </w:pPr>
    </w:p>
    <w:p w14:paraId="37A6E5C8" w14:textId="77777777" w:rsidR="00EF0B38" w:rsidRDefault="00000000">
      <w:pPr>
        <w:jc w:val="both"/>
        <w:rPr>
          <w:b/>
          <w:bCs/>
          <w:sz w:val="22"/>
          <w:szCs w:val="22"/>
        </w:rPr>
      </w:pPr>
      <w:r>
        <w:rPr>
          <w:b/>
          <w:bCs/>
          <w:sz w:val="22"/>
          <w:szCs w:val="22"/>
        </w:rPr>
        <w:t>ARTÍCULO DÉCIMO. RESPONSABLES.</w:t>
      </w:r>
      <w:r>
        <w:rPr>
          <w:sz w:val="22"/>
          <w:szCs w:val="22"/>
        </w:rPr>
        <w:t xml:space="preserve"> Serán responsables del cumplimiento de este Decreto:</w:t>
      </w:r>
    </w:p>
    <w:p w14:paraId="18CA0C57" w14:textId="77777777" w:rsidR="00EF0B38" w:rsidRDefault="00000000">
      <w:pPr>
        <w:numPr>
          <w:ilvl w:val="0"/>
          <w:numId w:val="5"/>
        </w:numPr>
        <w:pBdr>
          <w:top w:val="nil"/>
          <w:left w:val="nil"/>
          <w:bottom w:val="nil"/>
          <w:right w:val="nil"/>
          <w:between w:val="nil"/>
        </w:pBdr>
        <w:spacing w:line="259" w:lineRule="auto"/>
        <w:jc w:val="both"/>
        <w:rPr>
          <w:color w:val="000000"/>
          <w:sz w:val="22"/>
          <w:szCs w:val="22"/>
        </w:rPr>
      </w:pPr>
      <w:r>
        <w:rPr>
          <w:color w:val="000000"/>
          <w:sz w:val="22"/>
          <w:szCs w:val="22"/>
        </w:rPr>
        <w:t>Conductores.</w:t>
      </w:r>
    </w:p>
    <w:p w14:paraId="1A48218D" w14:textId="77777777" w:rsidR="00EF0B38" w:rsidRDefault="00000000">
      <w:pPr>
        <w:numPr>
          <w:ilvl w:val="0"/>
          <w:numId w:val="5"/>
        </w:numPr>
        <w:pBdr>
          <w:top w:val="nil"/>
          <w:left w:val="nil"/>
          <w:bottom w:val="nil"/>
          <w:right w:val="nil"/>
          <w:between w:val="nil"/>
        </w:pBdr>
        <w:spacing w:line="259" w:lineRule="auto"/>
        <w:jc w:val="both"/>
        <w:rPr>
          <w:color w:val="000000"/>
          <w:sz w:val="22"/>
          <w:szCs w:val="22"/>
        </w:rPr>
      </w:pPr>
      <w:r>
        <w:rPr>
          <w:color w:val="000000"/>
          <w:sz w:val="22"/>
          <w:szCs w:val="22"/>
        </w:rPr>
        <w:t>Propietarios de vehículos.</w:t>
      </w:r>
    </w:p>
    <w:p w14:paraId="5C3BDDAF" w14:textId="77777777" w:rsidR="00EF0B38" w:rsidRDefault="00000000">
      <w:pPr>
        <w:numPr>
          <w:ilvl w:val="0"/>
          <w:numId w:val="5"/>
        </w:numPr>
        <w:pBdr>
          <w:top w:val="nil"/>
          <w:left w:val="nil"/>
          <w:bottom w:val="nil"/>
          <w:right w:val="nil"/>
          <w:between w:val="nil"/>
        </w:pBdr>
        <w:spacing w:line="259" w:lineRule="auto"/>
        <w:jc w:val="both"/>
        <w:rPr>
          <w:color w:val="000000"/>
          <w:sz w:val="22"/>
          <w:szCs w:val="22"/>
        </w:rPr>
      </w:pPr>
      <w:r>
        <w:rPr>
          <w:color w:val="000000"/>
          <w:sz w:val="22"/>
          <w:szCs w:val="22"/>
        </w:rPr>
        <w:t>Empresas de transporte y transportadores.</w:t>
      </w:r>
    </w:p>
    <w:p w14:paraId="7FB47D01" w14:textId="77777777" w:rsidR="00EF0B38" w:rsidRDefault="00000000">
      <w:pPr>
        <w:numPr>
          <w:ilvl w:val="0"/>
          <w:numId w:val="5"/>
        </w:numPr>
        <w:pBdr>
          <w:top w:val="nil"/>
          <w:left w:val="nil"/>
          <w:bottom w:val="nil"/>
          <w:right w:val="nil"/>
          <w:between w:val="nil"/>
        </w:pBdr>
        <w:spacing w:line="259" w:lineRule="auto"/>
        <w:jc w:val="both"/>
        <w:rPr>
          <w:color w:val="000000"/>
          <w:sz w:val="22"/>
          <w:szCs w:val="22"/>
        </w:rPr>
      </w:pPr>
      <w:r>
        <w:rPr>
          <w:color w:val="000000"/>
          <w:sz w:val="22"/>
          <w:szCs w:val="22"/>
        </w:rPr>
        <w:t>Establecimientos de comercio.</w:t>
      </w:r>
    </w:p>
    <w:p w14:paraId="4A2C87EC" w14:textId="77777777" w:rsidR="00EF0B38" w:rsidRDefault="00000000">
      <w:pPr>
        <w:numPr>
          <w:ilvl w:val="0"/>
          <w:numId w:val="5"/>
        </w:numPr>
        <w:pBdr>
          <w:top w:val="nil"/>
          <w:left w:val="nil"/>
          <w:bottom w:val="nil"/>
          <w:right w:val="nil"/>
          <w:between w:val="nil"/>
        </w:pBdr>
        <w:spacing w:after="160" w:line="259" w:lineRule="auto"/>
        <w:jc w:val="both"/>
        <w:rPr>
          <w:color w:val="000000"/>
          <w:sz w:val="22"/>
          <w:szCs w:val="22"/>
        </w:rPr>
      </w:pPr>
      <w:r>
        <w:rPr>
          <w:color w:val="000000"/>
          <w:sz w:val="22"/>
          <w:szCs w:val="22"/>
        </w:rPr>
        <w:t>Empresas generadoras y receptoras de carga.</w:t>
      </w:r>
    </w:p>
    <w:p w14:paraId="29674C9E" w14:textId="77777777" w:rsidR="00EF0B38" w:rsidRDefault="00000000">
      <w:pPr>
        <w:jc w:val="both"/>
        <w:rPr>
          <w:sz w:val="22"/>
          <w:szCs w:val="22"/>
        </w:rPr>
      </w:pPr>
      <w:r>
        <w:rPr>
          <w:sz w:val="22"/>
          <w:szCs w:val="22"/>
        </w:rPr>
        <w:t>Los establecimientos de comercio y empresas deberán informar oportunamente a sus proveedores y contratistas sobre las disposiciones contenidas en el presente Decreto, para que organicen y programen adecuadamente sus operaciones.</w:t>
      </w:r>
    </w:p>
    <w:p w14:paraId="7AF301BE" w14:textId="77777777" w:rsidR="00EF0B38" w:rsidRDefault="00EF0B38">
      <w:pPr>
        <w:jc w:val="both"/>
        <w:rPr>
          <w:sz w:val="22"/>
          <w:szCs w:val="22"/>
        </w:rPr>
      </w:pPr>
    </w:p>
    <w:p w14:paraId="5796C6A4" w14:textId="77777777" w:rsidR="00EF0B38" w:rsidRDefault="00000000">
      <w:pPr>
        <w:jc w:val="both"/>
        <w:rPr>
          <w:sz w:val="22"/>
          <w:szCs w:val="22"/>
        </w:rPr>
      </w:pPr>
      <w:r>
        <w:rPr>
          <w:b/>
          <w:bCs/>
          <w:sz w:val="22"/>
          <w:szCs w:val="22"/>
        </w:rPr>
        <w:t xml:space="preserve">ARTÍCULO DÉCIMO PRIMERO. RÉGIMEN SANCIONATORIO. </w:t>
      </w:r>
      <w:r>
        <w:rPr>
          <w:sz w:val="22"/>
          <w:szCs w:val="22"/>
        </w:rPr>
        <w:t>El incumplimiento de las disposiciones contenidas en el presente Decreto dará lugar a la imposición de las infracciones y sanciones previstas en la Ley 769 de 2002 –Código Nacional de Tránsito Terrestre y las normas que la modifiquen, adicionen o sustituyan, incluyendo, según el caso, multas, inmovilización del vehículo y demás medidas establecidas por la ley.</w:t>
      </w:r>
    </w:p>
    <w:p w14:paraId="4E4F5BB7" w14:textId="77777777" w:rsidR="00EF0B38" w:rsidRDefault="00EF0B38">
      <w:pPr>
        <w:jc w:val="both"/>
        <w:rPr>
          <w:b/>
          <w:bCs/>
          <w:sz w:val="22"/>
          <w:szCs w:val="22"/>
        </w:rPr>
      </w:pPr>
    </w:p>
    <w:p w14:paraId="557E6906" w14:textId="77777777" w:rsidR="00EF0B38" w:rsidRDefault="00000000">
      <w:pPr>
        <w:jc w:val="both"/>
        <w:rPr>
          <w:sz w:val="22"/>
          <w:szCs w:val="22"/>
        </w:rPr>
      </w:pPr>
      <w:r>
        <w:rPr>
          <w:sz w:val="22"/>
          <w:szCs w:val="22"/>
        </w:rPr>
        <w:t>En ningún caso el presente Decreto crea sanciones nuevas diferentes a las previstas en la normativa nacional, sino que concreta supuestos de hecho para la aplicación de las infracciones ya existentes.</w:t>
      </w:r>
    </w:p>
    <w:p w14:paraId="6D8FFA72" w14:textId="77777777" w:rsidR="00EF0B38" w:rsidRDefault="00EF0B38">
      <w:pPr>
        <w:jc w:val="both"/>
        <w:rPr>
          <w:sz w:val="22"/>
          <w:szCs w:val="22"/>
        </w:rPr>
      </w:pPr>
    </w:p>
    <w:p w14:paraId="4787DD80" w14:textId="77777777" w:rsidR="00EF0B38" w:rsidRDefault="00000000">
      <w:pPr>
        <w:jc w:val="both"/>
        <w:rPr>
          <w:b/>
          <w:bCs/>
          <w:sz w:val="22"/>
          <w:szCs w:val="22"/>
        </w:rPr>
      </w:pPr>
      <w:r>
        <w:rPr>
          <w:b/>
          <w:bCs/>
          <w:sz w:val="22"/>
          <w:szCs w:val="22"/>
        </w:rPr>
        <w:t xml:space="preserve">ARTÍCULO DÉCIMO SEGUNDO. COORDINACIÓN INSTITUCIONAL. </w:t>
      </w:r>
      <w:r>
        <w:rPr>
          <w:sz w:val="22"/>
          <w:szCs w:val="22"/>
        </w:rPr>
        <w:t>La Secretaría de Tránsito, Transporte y Movilidad coordinará con la Secretaría de Gobierno, la Inspección de Policía y demás dependencias competentes, la implementación, divulgación y control de las medidas adoptadas en el presente Decreto.</w:t>
      </w:r>
    </w:p>
    <w:p w14:paraId="42495B88" w14:textId="77777777" w:rsidR="00EF0B38" w:rsidRDefault="00EF0B38">
      <w:pPr>
        <w:jc w:val="both"/>
        <w:rPr>
          <w:sz w:val="22"/>
          <w:szCs w:val="22"/>
        </w:rPr>
      </w:pPr>
    </w:p>
    <w:p w14:paraId="134936B1" w14:textId="77777777" w:rsidR="00EF0B38" w:rsidRDefault="00000000">
      <w:pPr>
        <w:jc w:val="both"/>
        <w:rPr>
          <w:sz w:val="22"/>
          <w:szCs w:val="22"/>
        </w:rPr>
      </w:pPr>
      <w:r>
        <w:rPr>
          <w:b/>
          <w:bCs/>
          <w:sz w:val="22"/>
          <w:szCs w:val="22"/>
        </w:rPr>
        <w:t xml:space="preserve">ARTÍCULO DÉCIMO TERCERO. VIGENCIA Y DEROGATORIAS. </w:t>
      </w:r>
      <w:r>
        <w:rPr>
          <w:sz w:val="22"/>
          <w:szCs w:val="22"/>
        </w:rPr>
        <w:t xml:space="preserve">El presente Decreto rige a partir de la fecha de su publicación en la página web oficial del Municipio de Cajicá y en los demás medios institucionales, y </w:t>
      </w:r>
      <w:commentRangeStart w:id="2"/>
      <w:r>
        <w:rPr>
          <w:sz w:val="22"/>
          <w:szCs w:val="22"/>
        </w:rPr>
        <w:t>actualiza</w:t>
      </w:r>
      <w:commentRangeEnd w:id="2"/>
      <w:r w:rsidR="004E5133">
        <w:rPr>
          <w:rStyle w:val="Refdecomentario"/>
          <w:sz w:val="22"/>
          <w:szCs w:val="22"/>
        </w:rPr>
        <w:commentReference w:id="2"/>
      </w:r>
      <w:r>
        <w:rPr>
          <w:sz w:val="22"/>
          <w:szCs w:val="22"/>
        </w:rPr>
        <w:t xml:space="preserve"> el Decreto 036 de 2018 y todas las disposiciones que le sean contrarias.</w:t>
      </w:r>
    </w:p>
    <w:p w14:paraId="7AC3E64F" w14:textId="77777777" w:rsidR="00EF0B38" w:rsidRDefault="00EF0B38">
      <w:pPr>
        <w:jc w:val="center"/>
        <w:rPr>
          <w:b/>
          <w:bCs/>
          <w:sz w:val="23"/>
          <w:szCs w:val="23"/>
        </w:rPr>
      </w:pPr>
    </w:p>
    <w:p w14:paraId="486765E0" w14:textId="77777777" w:rsidR="00EF0B38" w:rsidRDefault="00EF0B38">
      <w:pPr>
        <w:jc w:val="center"/>
        <w:rPr>
          <w:sz w:val="23"/>
          <w:szCs w:val="23"/>
        </w:rPr>
      </w:pPr>
    </w:p>
    <w:p w14:paraId="41BC21E9" w14:textId="77777777" w:rsidR="00EF0B38" w:rsidRDefault="00EF0B38">
      <w:pPr>
        <w:jc w:val="center"/>
        <w:rPr>
          <w:sz w:val="23"/>
          <w:szCs w:val="23"/>
        </w:rPr>
      </w:pPr>
    </w:p>
    <w:p w14:paraId="696DB1D2" w14:textId="77777777" w:rsidR="00EF0B38" w:rsidRDefault="00EF0B38">
      <w:pPr>
        <w:jc w:val="center"/>
        <w:rPr>
          <w:sz w:val="23"/>
          <w:szCs w:val="23"/>
        </w:rPr>
      </w:pPr>
    </w:p>
    <w:p w14:paraId="304BBEC0" w14:textId="77777777" w:rsidR="00EF0B38" w:rsidRDefault="00000000">
      <w:pPr>
        <w:rPr>
          <w:sz w:val="23"/>
          <w:szCs w:val="23"/>
        </w:rPr>
      </w:pPr>
      <w:r>
        <w:rPr>
          <w:sz w:val="23"/>
          <w:szCs w:val="23"/>
        </w:rPr>
        <w:t>Dado en Cajicá, Cundinamarca, a los __ días del mes de ____ de 2026.</w:t>
      </w:r>
    </w:p>
    <w:p w14:paraId="64E19015" w14:textId="77777777" w:rsidR="00EF0B38" w:rsidRDefault="00EF0B38">
      <w:pPr>
        <w:jc w:val="center"/>
        <w:rPr>
          <w:sz w:val="23"/>
          <w:szCs w:val="23"/>
        </w:rPr>
      </w:pPr>
    </w:p>
    <w:p w14:paraId="3C6168A5" w14:textId="77777777" w:rsidR="00EF0B38" w:rsidRDefault="00EF0B38">
      <w:pPr>
        <w:jc w:val="center"/>
        <w:rPr>
          <w:b/>
          <w:bCs/>
          <w:sz w:val="22"/>
          <w:szCs w:val="22"/>
        </w:rPr>
      </w:pPr>
    </w:p>
    <w:p w14:paraId="7FF854CF" w14:textId="77777777" w:rsidR="00EF0B38" w:rsidRDefault="00000000">
      <w:pPr>
        <w:jc w:val="center"/>
        <w:rPr>
          <w:sz w:val="23"/>
          <w:szCs w:val="23"/>
        </w:rPr>
      </w:pPr>
      <w:r>
        <w:rPr>
          <w:b/>
          <w:bCs/>
          <w:sz w:val="23"/>
          <w:szCs w:val="23"/>
        </w:rPr>
        <w:t>COMUNÍQUESE,</w:t>
      </w:r>
      <w:r>
        <w:rPr>
          <w:sz w:val="23"/>
          <w:szCs w:val="23"/>
        </w:rPr>
        <w:t xml:space="preserve"> </w:t>
      </w:r>
      <w:r>
        <w:rPr>
          <w:b/>
          <w:bCs/>
          <w:sz w:val="22"/>
          <w:szCs w:val="22"/>
        </w:rPr>
        <w:t>PUBLÍQUESE Y CÚMPLASE</w:t>
      </w:r>
    </w:p>
    <w:p w14:paraId="74DA855A" w14:textId="77777777" w:rsidR="00EF0B38" w:rsidRDefault="00EF0B38">
      <w:pPr>
        <w:jc w:val="both"/>
        <w:rPr>
          <w:sz w:val="22"/>
          <w:szCs w:val="22"/>
        </w:rPr>
      </w:pPr>
    </w:p>
    <w:p w14:paraId="7E3ACD25" w14:textId="77777777" w:rsidR="00EF0B38" w:rsidRDefault="00EF0B38">
      <w:pPr>
        <w:rPr>
          <w:sz w:val="22"/>
          <w:szCs w:val="22"/>
        </w:rPr>
      </w:pPr>
    </w:p>
    <w:p w14:paraId="30DD0399" w14:textId="77777777" w:rsidR="00EF0B38" w:rsidRDefault="00EF0B38">
      <w:pPr>
        <w:rPr>
          <w:sz w:val="22"/>
          <w:szCs w:val="22"/>
        </w:rPr>
      </w:pPr>
    </w:p>
    <w:p w14:paraId="29DFC180" w14:textId="77777777" w:rsidR="00EF0B38" w:rsidRDefault="00EF0B38">
      <w:pPr>
        <w:rPr>
          <w:sz w:val="22"/>
          <w:szCs w:val="22"/>
        </w:rPr>
      </w:pPr>
    </w:p>
    <w:p w14:paraId="080F18D4" w14:textId="77777777" w:rsidR="00EF0B38" w:rsidRDefault="00EF0B38">
      <w:pPr>
        <w:rPr>
          <w:sz w:val="22"/>
          <w:szCs w:val="22"/>
        </w:rPr>
      </w:pPr>
    </w:p>
    <w:p w14:paraId="463841E0" w14:textId="77777777" w:rsidR="00EF0B38" w:rsidRDefault="00EF0B38">
      <w:pPr>
        <w:rPr>
          <w:sz w:val="22"/>
          <w:szCs w:val="22"/>
        </w:rPr>
      </w:pPr>
    </w:p>
    <w:p w14:paraId="77440570" w14:textId="77777777" w:rsidR="00EF0B38" w:rsidRDefault="00000000">
      <w:pPr>
        <w:jc w:val="center"/>
        <w:rPr>
          <w:b/>
          <w:bCs/>
          <w:sz w:val="22"/>
          <w:szCs w:val="22"/>
        </w:rPr>
      </w:pPr>
      <w:r>
        <w:rPr>
          <w:b/>
          <w:bCs/>
          <w:sz w:val="22"/>
          <w:szCs w:val="22"/>
        </w:rPr>
        <w:t>FABIOLA JÁCOME RINCÓN</w:t>
      </w:r>
    </w:p>
    <w:p w14:paraId="07919C71" w14:textId="77777777" w:rsidR="00EF0B38" w:rsidRDefault="00000000">
      <w:pPr>
        <w:jc w:val="center"/>
        <w:rPr>
          <w:sz w:val="22"/>
          <w:szCs w:val="22"/>
        </w:rPr>
      </w:pPr>
      <w:r>
        <w:rPr>
          <w:sz w:val="22"/>
          <w:szCs w:val="22"/>
        </w:rPr>
        <w:t>Alcaldesa Municipal.</w:t>
      </w:r>
    </w:p>
    <w:p w14:paraId="782B4D2D" w14:textId="77777777" w:rsidR="00EF0B38" w:rsidRDefault="00EF0B38">
      <w:pPr>
        <w:jc w:val="center"/>
        <w:rPr>
          <w:sz w:val="22"/>
          <w:szCs w:val="22"/>
        </w:rPr>
      </w:pPr>
    </w:p>
    <w:p w14:paraId="303CA50B" w14:textId="77777777" w:rsidR="00EF0B38" w:rsidRDefault="00EF0B38">
      <w:pPr>
        <w:spacing w:after="120"/>
        <w:rPr>
          <w:sz w:val="16"/>
          <w:szCs w:val="16"/>
        </w:rPr>
      </w:pPr>
    </w:p>
    <w:tbl>
      <w:tblPr>
        <w:tblStyle w:val="a"/>
        <w:tblW w:w="9498"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8"/>
        <w:gridCol w:w="2552"/>
        <w:gridCol w:w="2976"/>
        <w:gridCol w:w="2552"/>
      </w:tblGrid>
      <w:tr w:rsidR="00EF0B38" w14:paraId="5088E0A6" w14:textId="77777777">
        <w:trPr>
          <w:trHeight w:val="20"/>
        </w:trPr>
        <w:tc>
          <w:tcPr>
            <w:tcW w:w="1418" w:type="dxa"/>
            <w:tcBorders>
              <w:top w:val="nil"/>
              <w:left w:val="nil"/>
              <w:bottom w:val="single" w:sz="4" w:space="0" w:color="000000"/>
              <w:right w:val="single" w:sz="4" w:space="0" w:color="000000"/>
            </w:tcBorders>
            <w:vAlign w:val="center"/>
          </w:tcPr>
          <w:p w14:paraId="21946DD7" w14:textId="77777777" w:rsidR="00EF0B38" w:rsidRDefault="00EF0B38">
            <w:pPr>
              <w:jc w:val="center"/>
              <w:rPr>
                <w:sz w:val="15"/>
                <w:szCs w:val="15"/>
              </w:rPr>
            </w:pPr>
          </w:p>
        </w:tc>
        <w:tc>
          <w:tcPr>
            <w:tcW w:w="2552" w:type="dxa"/>
            <w:tcBorders>
              <w:left w:val="single" w:sz="4" w:space="0" w:color="000000"/>
            </w:tcBorders>
            <w:vAlign w:val="center"/>
          </w:tcPr>
          <w:p w14:paraId="56469896" w14:textId="77777777" w:rsidR="00EF0B38" w:rsidRDefault="00000000">
            <w:pPr>
              <w:jc w:val="center"/>
              <w:rPr>
                <w:b/>
                <w:bCs/>
                <w:sz w:val="15"/>
                <w:szCs w:val="15"/>
              </w:rPr>
            </w:pPr>
            <w:r>
              <w:rPr>
                <w:b/>
                <w:bCs/>
                <w:sz w:val="15"/>
                <w:szCs w:val="15"/>
              </w:rPr>
              <w:t>NOMBRE Y APELLIDO</w:t>
            </w:r>
          </w:p>
        </w:tc>
        <w:tc>
          <w:tcPr>
            <w:tcW w:w="2976" w:type="dxa"/>
            <w:vAlign w:val="center"/>
          </w:tcPr>
          <w:p w14:paraId="6D589745" w14:textId="77777777" w:rsidR="00EF0B38" w:rsidRDefault="00000000">
            <w:pPr>
              <w:jc w:val="center"/>
              <w:rPr>
                <w:b/>
                <w:bCs/>
                <w:sz w:val="15"/>
                <w:szCs w:val="15"/>
              </w:rPr>
            </w:pPr>
            <w:r>
              <w:rPr>
                <w:b/>
                <w:bCs/>
                <w:sz w:val="15"/>
                <w:szCs w:val="15"/>
              </w:rPr>
              <w:t>FIRMA</w:t>
            </w:r>
          </w:p>
        </w:tc>
        <w:tc>
          <w:tcPr>
            <w:tcW w:w="2552" w:type="dxa"/>
            <w:vAlign w:val="center"/>
          </w:tcPr>
          <w:p w14:paraId="7AB017AA" w14:textId="77777777" w:rsidR="00EF0B38" w:rsidRDefault="00000000">
            <w:pPr>
              <w:jc w:val="center"/>
              <w:rPr>
                <w:b/>
                <w:bCs/>
                <w:sz w:val="15"/>
                <w:szCs w:val="15"/>
              </w:rPr>
            </w:pPr>
            <w:r>
              <w:rPr>
                <w:b/>
                <w:bCs/>
                <w:sz w:val="15"/>
                <w:szCs w:val="15"/>
              </w:rPr>
              <w:t>CARGO Y ÁREA</w:t>
            </w:r>
          </w:p>
        </w:tc>
      </w:tr>
      <w:tr w:rsidR="00EF0B38" w14:paraId="1957792A" w14:textId="77777777">
        <w:trPr>
          <w:trHeight w:val="212"/>
        </w:trPr>
        <w:tc>
          <w:tcPr>
            <w:tcW w:w="1418" w:type="dxa"/>
            <w:vMerge w:val="restart"/>
            <w:tcBorders>
              <w:top w:val="single" w:sz="4" w:space="0" w:color="000000"/>
            </w:tcBorders>
            <w:vAlign w:val="center"/>
          </w:tcPr>
          <w:p w14:paraId="2E1F1EF1" w14:textId="77777777" w:rsidR="00EF0B38" w:rsidRDefault="00000000">
            <w:pPr>
              <w:widowControl w:val="0"/>
              <w:jc w:val="center"/>
              <w:rPr>
                <w:b/>
                <w:bCs/>
                <w:sz w:val="15"/>
                <w:szCs w:val="15"/>
              </w:rPr>
            </w:pPr>
            <w:r>
              <w:rPr>
                <w:b/>
                <w:bCs/>
                <w:sz w:val="15"/>
                <w:szCs w:val="15"/>
              </w:rPr>
              <w:t>Elaboró</w:t>
            </w:r>
          </w:p>
        </w:tc>
        <w:tc>
          <w:tcPr>
            <w:tcW w:w="2552" w:type="dxa"/>
          </w:tcPr>
          <w:p w14:paraId="7AF2C6D5" w14:textId="77777777" w:rsidR="00EF0B38" w:rsidRDefault="00000000">
            <w:pPr>
              <w:rPr>
                <w:sz w:val="15"/>
                <w:szCs w:val="15"/>
              </w:rPr>
            </w:pPr>
            <w:r>
              <w:rPr>
                <w:sz w:val="15"/>
                <w:szCs w:val="15"/>
              </w:rPr>
              <w:t>Carlos Andrés Gil Castillo.</w:t>
            </w:r>
          </w:p>
        </w:tc>
        <w:tc>
          <w:tcPr>
            <w:tcW w:w="2976" w:type="dxa"/>
          </w:tcPr>
          <w:p w14:paraId="4EC2DDED" w14:textId="77777777" w:rsidR="00EF0B38" w:rsidRDefault="00EF0B38">
            <w:pPr>
              <w:rPr>
                <w:sz w:val="15"/>
                <w:szCs w:val="15"/>
              </w:rPr>
            </w:pPr>
          </w:p>
          <w:p w14:paraId="24C8B360" w14:textId="77777777" w:rsidR="00EF0B38" w:rsidRDefault="00EF0B38">
            <w:pPr>
              <w:rPr>
                <w:sz w:val="15"/>
                <w:szCs w:val="15"/>
              </w:rPr>
            </w:pPr>
          </w:p>
        </w:tc>
        <w:tc>
          <w:tcPr>
            <w:tcW w:w="2552" w:type="dxa"/>
          </w:tcPr>
          <w:p w14:paraId="42964164" w14:textId="77777777" w:rsidR="00EF0B38" w:rsidRDefault="00000000">
            <w:pPr>
              <w:widowControl w:val="0"/>
              <w:jc w:val="center"/>
              <w:rPr>
                <w:sz w:val="15"/>
                <w:szCs w:val="15"/>
              </w:rPr>
            </w:pPr>
            <w:r>
              <w:rPr>
                <w:sz w:val="15"/>
                <w:szCs w:val="15"/>
              </w:rPr>
              <w:t>Técnico Administrativo STTM.</w:t>
            </w:r>
          </w:p>
        </w:tc>
      </w:tr>
      <w:tr w:rsidR="00EF0B38" w14:paraId="42C343CD" w14:textId="77777777">
        <w:trPr>
          <w:trHeight w:val="274"/>
        </w:trPr>
        <w:tc>
          <w:tcPr>
            <w:tcW w:w="1418" w:type="dxa"/>
            <w:vMerge/>
            <w:tcBorders>
              <w:top w:val="single" w:sz="4" w:space="0" w:color="000000"/>
            </w:tcBorders>
            <w:vAlign w:val="center"/>
          </w:tcPr>
          <w:p w14:paraId="4BCFFFF2" w14:textId="77777777" w:rsidR="00EF0B38" w:rsidRDefault="00EF0B38">
            <w:pPr>
              <w:widowControl w:val="0"/>
              <w:pBdr>
                <w:top w:val="nil"/>
                <w:left w:val="nil"/>
                <w:bottom w:val="nil"/>
                <w:right w:val="nil"/>
                <w:between w:val="nil"/>
              </w:pBdr>
              <w:spacing w:line="276" w:lineRule="auto"/>
              <w:rPr>
                <w:sz w:val="15"/>
                <w:szCs w:val="15"/>
              </w:rPr>
            </w:pPr>
          </w:p>
        </w:tc>
        <w:tc>
          <w:tcPr>
            <w:tcW w:w="2552" w:type="dxa"/>
            <w:vAlign w:val="center"/>
          </w:tcPr>
          <w:p w14:paraId="059ACFE4" w14:textId="77777777" w:rsidR="00EF0B38" w:rsidRDefault="00000000">
            <w:pPr>
              <w:rPr>
                <w:sz w:val="15"/>
                <w:szCs w:val="15"/>
              </w:rPr>
            </w:pPr>
            <w:r>
              <w:rPr>
                <w:sz w:val="15"/>
                <w:szCs w:val="15"/>
              </w:rPr>
              <w:t>Tamis Carolina Noriega Meza</w:t>
            </w:r>
          </w:p>
        </w:tc>
        <w:tc>
          <w:tcPr>
            <w:tcW w:w="2976" w:type="dxa"/>
            <w:vAlign w:val="center"/>
          </w:tcPr>
          <w:p w14:paraId="1F2623AA" w14:textId="77777777" w:rsidR="00EF0B38" w:rsidRDefault="00EF0B38">
            <w:pPr>
              <w:jc w:val="center"/>
              <w:rPr>
                <w:sz w:val="15"/>
                <w:szCs w:val="15"/>
              </w:rPr>
            </w:pPr>
          </w:p>
          <w:p w14:paraId="1532EF53" w14:textId="77777777" w:rsidR="00EF0B38" w:rsidRDefault="00EF0B38">
            <w:pPr>
              <w:jc w:val="center"/>
              <w:rPr>
                <w:sz w:val="15"/>
                <w:szCs w:val="15"/>
              </w:rPr>
            </w:pPr>
          </w:p>
        </w:tc>
        <w:tc>
          <w:tcPr>
            <w:tcW w:w="2552" w:type="dxa"/>
            <w:vAlign w:val="center"/>
          </w:tcPr>
          <w:p w14:paraId="5E141054" w14:textId="77777777" w:rsidR="00EF0B38" w:rsidRDefault="00000000">
            <w:pPr>
              <w:jc w:val="center"/>
              <w:rPr>
                <w:sz w:val="15"/>
                <w:szCs w:val="15"/>
              </w:rPr>
            </w:pPr>
            <w:r>
              <w:rPr>
                <w:sz w:val="15"/>
                <w:szCs w:val="15"/>
              </w:rPr>
              <w:t>Abogada Contratista STTM.</w:t>
            </w:r>
          </w:p>
        </w:tc>
      </w:tr>
      <w:tr w:rsidR="00EF0B38" w14:paraId="109298C5" w14:textId="77777777">
        <w:trPr>
          <w:trHeight w:val="20"/>
        </w:trPr>
        <w:tc>
          <w:tcPr>
            <w:tcW w:w="1418" w:type="dxa"/>
            <w:vMerge w:val="restart"/>
            <w:vAlign w:val="center"/>
          </w:tcPr>
          <w:p w14:paraId="580CEEC8" w14:textId="77777777" w:rsidR="00EF0B38" w:rsidRDefault="00000000">
            <w:pPr>
              <w:jc w:val="center"/>
              <w:rPr>
                <w:b/>
                <w:bCs/>
                <w:sz w:val="15"/>
                <w:szCs w:val="15"/>
              </w:rPr>
            </w:pPr>
            <w:r>
              <w:rPr>
                <w:b/>
                <w:bCs/>
                <w:sz w:val="15"/>
                <w:szCs w:val="15"/>
              </w:rPr>
              <w:t>Revisó</w:t>
            </w:r>
          </w:p>
          <w:p w14:paraId="03314A4C" w14:textId="77777777" w:rsidR="00EF0B38" w:rsidRDefault="00EF0B38">
            <w:pPr>
              <w:jc w:val="center"/>
              <w:rPr>
                <w:b/>
                <w:bCs/>
                <w:sz w:val="15"/>
                <w:szCs w:val="15"/>
              </w:rPr>
            </w:pPr>
          </w:p>
        </w:tc>
        <w:tc>
          <w:tcPr>
            <w:tcW w:w="2552" w:type="dxa"/>
            <w:vAlign w:val="center"/>
          </w:tcPr>
          <w:p w14:paraId="14FBFEB5" w14:textId="77777777" w:rsidR="00EF0B38" w:rsidRDefault="00000000">
            <w:pPr>
              <w:rPr>
                <w:sz w:val="15"/>
                <w:szCs w:val="15"/>
              </w:rPr>
            </w:pPr>
            <w:r>
              <w:rPr>
                <w:sz w:val="15"/>
                <w:szCs w:val="15"/>
              </w:rPr>
              <w:t>Genny Esperanza Castilla Landines</w:t>
            </w:r>
          </w:p>
        </w:tc>
        <w:tc>
          <w:tcPr>
            <w:tcW w:w="2976" w:type="dxa"/>
            <w:vAlign w:val="center"/>
          </w:tcPr>
          <w:p w14:paraId="226728F8" w14:textId="77777777" w:rsidR="00EF0B38" w:rsidRDefault="00EF0B38">
            <w:pPr>
              <w:jc w:val="center"/>
              <w:rPr>
                <w:sz w:val="15"/>
                <w:szCs w:val="15"/>
              </w:rPr>
            </w:pPr>
          </w:p>
          <w:p w14:paraId="6A9B79F3" w14:textId="77777777" w:rsidR="00EF0B38" w:rsidRDefault="00EF0B38">
            <w:pPr>
              <w:jc w:val="center"/>
              <w:rPr>
                <w:sz w:val="15"/>
                <w:szCs w:val="15"/>
              </w:rPr>
            </w:pPr>
          </w:p>
        </w:tc>
        <w:tc>
          <w:tcPr>
            <w:tcW w:w="2552" w:type="dxa"/>
            <w:vAlign w:val="center"/>
          </w:tcPr>
          <w:p w14:paraId="69A24088" w14:textId="77777777" w:rsidR="00EF0B38" w:rsidRDefault="00000000">
            <w:pPr>
              <w:jc w:val="center"/>
              <w:rPr>
                <w:sz w:val="15"/>
                <w:szCs w:val="15"/>
              </w:rPr>
            </w:pPr>
            <w:r>
              <w:rPr>
                <w:sz w:val="15"/>
                <w:szCs w:val="15"/>
              </w:rPr>
              <w:t>Directora de Seguridad Vial y Movilidad</w:t>
            </w:r>
          </w:p>
        </w:tc>
      </w:tr>
      <w:tr w:rsidR="00EF0B38" w14:paraId="78AF4B77" w14:textId="77777777">
        <w:trPr>
          <w:trHeight w:val="408"/>
        </w:trPr>
        <w:tc>
          <w:tcPr>
            <w:tcW w:w="1418" w:type="dxa"/>
            <w:vMerge/>
            <w:vAlign w:val="center"/>
          </w:tcPr>
          <w:p w14:paraId="62FB7E9A" w14:textId="77777777" w:rsidR="00EF0B38" w:rsidRDefault="00EF0B38">
            <w:pPr>
              <w:widowControl w:val="0"/>
              <w:pBdr>
                <w:top w:val="nil"/>
                <w:left w:val="nil"/>
                <w:bottom w:val="nil"/>
                <w:right w:val="nil"/>
                <w:between w:val="nil"/>
              </w:pBdr>
              <w:spacing w:line="276" w:lineRule="auto"/>
              <w:rPr>
                <w:sz w:val="15"/>
                <w:szCs w:val="15"/>
              </w:rPr>
            </w:pPr>
          </w:p>
        </w:tc>
        <w:tc>
          <w:tcPr>
            <w:tcW w:w="2552" w:type="dxa"/>
            <w:vAlign w:val="center"/>
          </w:tcPr>
          <w:p w14:paraId="6534CD42" w14:textId="77777777" w:rsidR="00EF0B38" w:rsidRDefault="00000000">
            <w:pPr>
              <w:jc w:val="center"/>
              <w:rPr>
                <w:sz w:val="15"/>
                <w:szCs w:val="15"/>
              </w:rPr>
            </w:pPr>
            <w:r>
              <w:rPr>
                <w:sz w:val="15"/>
                <w:szCs w:val="15"/>
              </w:rPr>
              <w:t>Dr. Eduard Evelio Muñoz Useche</w:t>
            </w:r>
          </w:p>
        </w:tc>
        <w:tc>
          <w:tcPr>
            <w:tcW w:w="2976" w:type="dxa"/>
            <w:vAlign w:val="center"/>
          </w:tcPr>
          <w:p w14:paraId="35B34BB9" w14:textId="77777777" w:rsidR="00EF0B38" w:rsidRDefault="00EF0B38">
            <w:pPr>
              <w:jc w:val="center"/>
              <w:rPr>
                <w:sz w:val="15"/>
                <w:szCs w:val="15"/>
              </w:rPr>
            </w:pPr>
          </w:p>
        </w:tc>
        <w:tc>
          <w:tcPr>
            <w:tcW w:w="2552" w:type="dxa"/>
            <w:vAlign w:val="center"/>
          </w:tcPr>
          <w:p w14:paraId="3A6CBD84" w14:textId="77777777" w:rsidR="00EF0B38" w:rsidRDefault="00000000">
            <w:pPr>
              <w:jc w:val="center"/>
              <w:rPr>
                <w:sz w:val="15"/>
                <w:szCs w:val="15"/>
              </w:rPr>
            </w:pPr>
            <w:r>
              <w:rPr>
                <w:sz w:val="15"/>
                <w:szCs w:val="15"/>
              </w:rPr>
              <w:t>Director de Tránsito y Transporte</w:t>
            </w:r>
          </w:p>
        </w:tc>
      </w:tr>
      <w:tr w:rsidR="00EF0B38" w14:paraId="30B65B31" w14:textId="77777777">
        <w:trPr>
          <w:trHeight w:val="408"/>
        </w:trPr>
        <w:tc>
          <w:tcPr>
            <w:tcW w:w="1418" w:type="dxa"/>
            <w:vAlign w:val="center"/>
          </w:tcPr>
          <w:p w14:paraId="77EEFE40" w14:textId="77777777" w:rsidR="00EF0B38" w:rsidRDefault="00000000">
            <w:pPr>
              <w:jc w:val="center"/>
              <w:rPr>
                <w:sz w:val="15"/>
                <w:szCs w:val="15"/>
              </w:rPr>
            </w:pPr>
            <w:r>
              <w:rPr>
                <w:b/>
                <w:bCs/>
                <w:sz w:val="15"/>
                <w:szCs w:val="15"/>
              </w:rPr>
              <w:t>Revisó</w:t>
            </w:r>
          </w:p>
        </w:tc>
        <w:tc>
          <w:tcPr>
            <w:tcW w:w="2552" w:type="dxa"/>
            <w:vAlign w:val="center"/>
          </w:tcPr>
          <w:p w14:paraId="269CDE5A" w14:textId="77777777" w:rsidR="00EF0B38" w:rsidRDefault="00000000">
            <w:pPr>
              <w:jc w:val="center"/>
              <w:rPr>
                <w:sz w:val="15"/>
                <w:szCs w:val="15"/>
              </w:rPr>
            </w:pPr>
            <w:r>
              <w:rPr>
                <w:sz w:val="15"/>
                <w:szCs w:val="15"/>
              </w:rPr>
              <w:t xml:space="preserve">Dra. Martha Nieto Ayala </w:t>
            </w:r>
          </w:p>
        </w:tc>
        <w:tc>
          <w:tcPr>
            <w:tcW w:w="2976" w:type="dxa"/>
            <w:vAlign w:val="center"/>
          </w:tcPr>
          <w:p w14:paraId="6B0AFB55" w14:textId="77777777" w:rsidR="00EF0B38" w:rsidRDefault="00EF0B38">
            <w:pPr>
              <w:jc w:val="center"/>
              <w:rPr>
                <w:sz w:val="15"/>
                <w:szCs w:val="15"/>
              </w:rPr>
            </w:pPr>
          </w:p>
        </w:tc>
        <w:tc>
          <w:tcPr>
            <w:tcW w:w="2552" w:type="dxa"/>
            <w:vAlign w:val="center"/>
          </w:tcPr>
          <w:p w14:paraId="1F58E783" w14:textId="77777777" w:rsidR="00EF0B38" w:rsidRDefault="00000000">
            <w:pPr>
              <w:jc w:val="center"/>
              <w:rPr>
                <w:sz w:val="15"/>
                <w:szCs w:val="15"/>
              </w:rPr>
            </w:pPr>
            <w:r>
              <w:rPr>
                <w:sz w:val="15"/>
                <w:szCs w:val="15"/>
              </w:rPr>
              <w:t>Secretaria Jurídica</w:t>
            </w:r>
          </w:p>
        </w:tc>
      </w:tr>
      <w:tr w:rsidR="00EF0B38" w14:paraId="61DCB1B0" w14:textId="77777777">
        <w:trPr>
          <w:trHeight w:val="408"/>
        </w:trPr>
        <w:tc>
          <w:tcPr>
            <w:tcW w:w="1418" w:type="dxa"/>
            <w:vAlign w:val="center"/>
          </w:tcPr>
          <w:p w14:paraId="5ED52F08" w14:textId="77777777" w:rsidR="00EF0B38" w:rsidRDefault="00000000">
            <w:pPr>
              <w:jc w:val="center"/>
              <w:rPr>
                <w:sz w:val="15"/>
                <w:szCs w:val="15"/>
              </w:rPr>
            </w:pPr>
            <w:r>
              <w:rPr>
                <w:b/>
                <w:bCs/>
                <w:sz w:val="15"/>
                <w:szCs w:val="15"/>
              </w:rPr>
              <w:t>Revisó</w:t>
            </w:r>
          </w:p>
        </w:tc>
        <w:tc>
          <w:tcPr>
            <w:tcW w:w="2552" w:type="dxa"/>
            <w:vAlign w:val="center"/>
          </w:tcPr>
          <w:p w14:paraId="337A23A5" w14:textId="77777777" w:rsidR="00EF0B38" w:rsidRDefault="00000000">
            <w:pPr>
              <w:jc w:val="center"/>
              <w:rPr>
                <w:sz w:val="15"/>
                <w:szCs w:val="15"/>
                <w:highlight w:val="white"/>
              </w:rPr>
            </w:pPr>
            <w:r>
              <w:rPr>
                <w:sz w:val="15"/>
                <w:szCs w:val="15"/>
                <w:highlight w:val="white"/>
              </w:rPr>
              <w:t>Dr. Hugo Alejandro Palacios Santafé</w:t>
            </w:r>
          </w:p>
          <w:p w14:paraId="6FB62D55" w14:textId="77777777" w:rsidR="00EF0B38" w:rsidRDefault="00EF0B38">
            <w:pPr>
              <w:jc w:val="center"/>
              <w:rPr>
                <w:sz w:val="15"/>
                <w:szCs w:val="15"/>
              </w:rPr>
            </w:pPr>
          </w:p>
        </w:tc>
        <w:tc>
          <w:tcPr>
            <w:tcW w:w="2976" w:type="dxa"/>
            <w:vAlign w:val="center"/>
          </w:tcPr>
          <w:p w14:paraId="3AF5FF27" w14:textId="77777777" w:rsidR="00EF0B38" w:rsidRDefault="00EF0B38">
            <w:pPr>
              <w:jc w:val="center"/>
              <w:rPr>
                <w:sz w:val="15"/>
                <w:szCs w:val="15"/>
              </w:rPr>
            </w:pPr>
          </w:p>
        </w:tc>
        <w:tc>
          <w:tcPr>
            <w:tcW w:w="2552" w:type="dxa"/>
            <w:vAlign w:val="center"/>
          </w:tcPr>
          <w:p w14:paraId="0A4A5CF4" w14:textId="77777777" w:rsidR="00EF0B38" w:rsidRDefault="00000000">
            <w:pPr>
              <w:jc w:val="center"/>
              <w:rPr>
                <w:sz w:val="15"/>
                <w:szCs w:val="15"/>
              </w:rPr>
            </w:pPr>
            <w:r>
              <w:rPr>
                <w:sz w:val="15"/>
                <w:szCs w:val="15"/>
              </w:rPr>
              <w:t>Abogado Despacho de la Alcaldesa</w:t>
            </w:r>
          </w:p>
        </w:tc>
      </w:tr>
      <w:tr w:rsidR="00EF0B38" w14:paraId="4AC885D0" w14:textId="77777777">
        <w:trPr>
          <w:trHeight w:val="398"/>
        </w:trPr>
        <w:tc>
          <w:tcPr>
            <w:tcW w:w="1418" w:type="dxa"/>
            <w:vAlign w:val="center"/>
          </w:tcPr>
          <w:p w14:paraId="6A999DDA" w14:textId="77777777" w:rsidR="00EF0B38" w:rsidRDefault="00000000">
            <w:pPr>
              <w:jc w:val="center"/>
              <w:rPr>
                <w:b/>
                <w:bCs/>
                <w:sz w:val="15"/>
                <w:szCs w:val="15"/>
              </w:rPr>
            </w:pPr>
            <w:r>
              <w:rPr>
                <w:b/>
                <w:bCs/>
                <w:sz w:val="15"/>
                <w:szCs w:val="15"/>
              </w:rPr>
              <w:t>Revisó y aprobó</w:t>
            </w:r>
          </w:p>
        </w:tc>
        <w:tc>
          <w:tcPr>
            <w:tcW w:w="2552" w:type="dxa"/>
            <w:vAlign w:val="center"/>
          </w:tcPr>
          <w:p w14:paraId="2249AA22" w14:textId="77777777" w:rsidR="00EF0B38" w:rsidRDefault="00000000">
            <w:pPr>
              <w:rPr>
                <w:sz w:val="15"/>
                <w:szCs w:val="15"/>
              </w:rPr>
            </w:pPr>
            <w:r>
              <w:rPr>
                <w:sz w:val="15"/>
                <w:szCs w:val="15"/>
              </w:rPr>
              <w:t>Ing. Juan Felipe Mozo Zapata.</w:t>
            </w:r>
          </w:p>
        </w:tc>
        <w:tc>
          <w:tcPr>
            <w:tcW w:w="2976" w:type="dxa"/>
            <w:vAlign w:val="center"/>
          </w:tcPr>
          <w:p w14:paraId="7F10B071" w14:textId="77777777" w:rsidR="00EF0B38" w:rsidRDefault="00EF0B38">
            <w:pPr>
              <w:jc w:val="center"/>
              <w:rPr>
                <w:sz w:val="15"/>
                <w:szCs w:val="15"/>
              </w:rPr>
            </w:pPr>
          </w:p>
        </w:tc>
        <w:tc>
          <w:tcPr>
            <w:tcW w:w="2552" w:type="dxa"/>
            <w:vAlign w:val="center"/>
          </w:tcPr>
          <w:p w14:paraId="3E4DD3F0" w14:textId="77777777" w:rsidR="00EF0B38" w:rsidRDefault="00000000">
            <w:pPr>
              <w:jc w:val="center"/>
              <w:rPr>
                <w:sz w:val="15"/>
                <w:szCs w:val="15"/>
              </w:rPr>
            </w:pPr>
            <w:r>
              <w:rPr>
                <w:sz w:val="15"/>
                <w:szCs w:val="15"/>
              </w:rPr>
              <w:t>Secretario de Tránsito, Transporte y Movilidad.</w:t>
            </w:r>
          </w:p>
        </w:tc>
      </w:tr>
      <w:tr w:rsidR="00EF0B38" w14:paraId="00AD1142" w14:textId="77777777">
        <w:trPr>
          <w:trHeight w:val="426"/>
        </w:trPr>
        <w:tc>
          <w:tcPr>
            <w:tcW w:w="9498" w:type="dxa"/>
            <w:gridSpan w:val="4"/>
            <w:vAlign w:val="center"/>
          </w:tcPr>
          <w:p w14:paraId="09C25E6C" w14:textId="77777777" w:rsidR="00EF0B38" w:rsidRDefault="00000000">
            <w:pPr>
              <w:jc w:val="center"/>
              <w:rPr>
                <w:sz w:val="15"/>
                <w:szCs w:val="15"/>
              </w:rPr>
            </w:pPr>
            <w:r>
              <w:rPr>
                <w:sz w:val="15"/>
                <w:szCs w:val="15"/>
              </w:rPr>
              <w:t>Los firmantes, manifestamos expresamente que hemos estudiado y revisado el presente acto administrativo, y por encontrarlo ajustado a las disposiciones constitucionales, legales y reglamentarias vigentes, lo presentamos para su firma bajo nuestra responsabilidad.</w:t>
            </w:r>
          </w:p>
        </w:tc>
      </w:tr>
    </w:tbl>
    <w:p w14:paraId="0A7BB10D" w14:textId="77777777" w:rsidR="00EF0B38" w:rsidRDefault="00EF0B38">
      <w:pPr>
        <w:spacing w:after="120"/>
      </w:pPr>
    </w:p>
    <w:p w14:paraId="4643E94F" w14:textId="77777777" w:rsidR="00EF0B38" w:rsidRDefault="00EF0B38">
      <w:pPr>
        <w:jc w:val="center"/>
        <w:rPr>
          <w:sz w:val="22"/>
          <w:szCs w:val="22"/>
        </w:rPr>
      </w:pPr>
    </w:p>
    <w:sectPr w:rsidR="00EF0B38">
      <w:headerReference w:type="even" r:id="rId11"/>
      <w:headerReference w:type="default" r:id="rId12"/>
      <w:footerReference w:type="default" r:id="rId13"/>
      <w:headerReference w:type="first" r:id="rId14"/>
      <w:pgSz w:w="12240" w:h="18720"/>
      <w:pgMar w:top="1417" w:right="1701" w:bottom="1417" w:left="1701" w:header="708" w:footer="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Hugo Palacios" w:date="2026-06-30T11:12:00Z" w:initials="HP">
    <w:p w14:paraId="469F556C" w14:textId="77777777" w:rsidR="00A23935" w:rsidRDefault="00A23935" w:rsidP="00A23935">
      <w:r>
        <w:rPr>
          <w:rStyle w:val="Refdecomentario"/>
        </w:rPr>
        <w:annotationRef/>
      </w:r>
      <w:r>
        <w:rPr>
          <w:sz w:val="20"/>
          <w:szCs w:val="20"/>
        </w:rPr>
        <w:t>sugiero que se hable de regular y se derogue la norma anterior</w:t>
      </w:r>
    </w:p>
  </w:comment>
  <w:comment w:id="2" w:author="Hugo Palacios" w:date="2026-06-30T11:23:00Z" w:initials="HP">
    <w:p w14:paraId="563F4299" w14:textId="77777777" w:rsidR="004E5133" w:rsidRDefault="004E5133" w:rsidP="004E5133">
      <w:r>
        <w:rPr>
          <w:rStyle w:val="Refdecomentario"/>
        </w:rPr>
        <w:annotationRef/>
      </w:r>
      <w:r>
        <w:rPr>
          <w:sz w:val="20"/>
          <w:szCs w:val="20"/>
        </w:rPr>
        <w:t>deroga?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69F556C" w15:done="0"/>
  <w15:commentEx w15:paraId="563F429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8B1D964" w16cex:dateUtc="2026-06-30T16:12:00Z"/>
  <w16cex:commentExtensible w16cex:durableId="441FDD07" w16cex:dateUtc="2026-06-30T16: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69F556C" w16cid:durableId="08B1D964"/>
  <w16cid:commentId w16cid:paraId="563F4299" w16cid:durableId="441FDD0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85599F" w14:textId="77777777" w:rsidR="0012078B" w:rsidRDefault="0012078B">
      <w:r>
        <w:separator/>
      </w:r>
    </w:p>
  </w:endnote>
  <w:endnote w:type="continuationSeparator" w:id="0">
    <w:p w14:paraId="462374F9" w14:textId="77777777" w:rsidR="0012078B" w:rsidRDefault="001207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20B0604020202020204"/>
    <w:charset w:val="00"/>
    <w:family w:val="auto"/>
    <w:pitch w:val="default"/>
    <w:embedRegular r:id="rId1" w:fontKey="{39DB25D0-B62B-DA45-8CD4-ED557FF74B9F}"/>
  </w:font>
  <w:font w:name="Courier New">
    <w:panose1 w:val="02070309020205020404"/>
    <w:charset w:val="00"/>
    <w:family w:val="modern"/>
    <w:pitch w:val="fixed"/>
    <w:sig w:usb0="E0002AFF" w:usb1="C0007843" w:usb2="00000009" w:usb3="00000000" w:csb0="000001FF" w:csb1="00000000"/>
    <w:embedRegular r:id="rId2" w:fontKey="{B2555FFE-EEEE-794D-810D-802179E9A445}"/>
  </w:font>
  <w:font w:name="Calibri">
    <w:panose1 w:val="020F0502020204030204"/>
    <w:charset w:val="00"/>
    <w:family w:val="swiss"/>
    <w:pitch w:val="variable"/>
    <w:sig w:usb0="E0002AFF" w:usb1="C000247B" w:usb2="00000009" w:usb3="00000000" w:csb0="000001FF" w:csb1="00000000"/>
    <w:embedRegular r:id="rId3" w:fontKey="{D32B4C76-C867-C744-94D3-353A2E4F03F0}"/>
    <w:embedBold r:id="rId4" w:fontKey="{8050027E-ADA6-E04A-9F0E-4C7416EA8342}"/>
    <w:embedItalic r:id="rId5" w:fontKey="{54826249-FD8C-7245-AC08-AD886D21A2C4}"/>
  </w:font>
  <w:font w:name="Times New Roman">
    <w:panose1 w:val="02020603050405020304"/>
    <w:charset w:val="00"/>
    <w:family w:val="roman"/>
    <w:pitch w:val="variable"/>
    <w:sig w:usb0="E0002EFF" w:usb1="C000785B" w:usb2="00000009" w:usb3="00000000" w:csb0="000001FF" w:csb1="00000000"/>
    <w:embedRegular r:id="rId6" w:fontKey="{E1C6025F-CBD8-E94C-9669-D81DDEF5C995}"/>
    <w:embedBold r:id="rId7" w:fontKey="{E0593069-2B70-2B42-8194-5E6EF1009B68}"/>
  </w:font>
  <w:font w:name="Georgia">
    <w:panose1 w:val="02040502050405020303"/>
    <w:charset w:val="00"/>
    <w:family w:val="roman"/>
    <w:pitch w:val="variable"/>
    <w:sig w:usb0="00000287" w:usb1="00000000" w:usb2="00000000" w:usb3="00000000" w:csb0="0000009F" w:csb1="00000000"/>
    <w:embedItalic r:id="rId8" w:fontKey="{F29016A8-A6E7-3B4B-841C-663CC86355DA}"/>
  </w:font>
  <w:font w:name="Cambria">
    <w:panose1 w:val="02040503050406030204"/>
    <w:charset w:val="00"/>
    <w:family w:val="roman"/>
    <w:notTrueType/>
    <w:pitch w:val="default"/>
    <w:embedRegular r:id="rId9" w:fontKey="{1B4E724C-4602-CE4C-B349-8B82C17A1C3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57F9E9" w14:textId="77777777" w:rsidR="00EF0B38" w:rsidRDefault="00000000">
    <w:pPr>
      <w:pBdr>
        <w:top w:val="nil"/>
        <w:left w:val="nil"/>
        <w:bottom w:val="nil"/>
        <w:right w:val="nil"/>
        <w:between w:val="nil"/>
      </w:pBdr>
      <w:tabs>
        <w:tab w:val="center" w:pos="4419"/>
        <w:tab w:val="right" w:pos="8838"/>
      </w:tabs>
      <w:ind w:left="-1701"/>
      <w:rPr>
        <w:color w:val="000000"/>
      </w:rPr>
    </w:pPr>
    <w:r>
      <w:rPr>
        <w:noProof/>
        <w:color w:val="000000"/>
      </w:rPr>
      <w:drawing>
        <wp:inline distT="0" distB="0" distL="0" distR="0" wp14:anchorId="0BAB4ACB" wp14:editId="4560F9E1">
          <wp:extent cx="7902300" cy="1110453"/>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l="2409" r="-2409"/>
                  <a:stretch>
                    <a:fillRect/>
                  </a:stretch>
                </pic:blipFill>
                <pic:spPr>
                  <a:xfrm>
                    <a:off x="0" y="0"/>
                    <a:ext cx="7902300" cy="1110453"/>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2B2F5A" w14:textId="77777777" w:rsidR="0012078B" w:rsidRDefault="0012078B">
      <w:r>
        <w:separator/>
      </w:r>
    </w:p>
  </w:footnote>
  <w:footnote w:type="continuationSeparator" w:id="0">
    <w:p w14:paraId="5454CC09" w14:textId="77777777" w:rsidR="0012078B" w:rsidRDefault="001207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EF6D06" w14:textId="77777777" w:rsidR="00EF0B38" w:rsidRDefault="00EF0B38">
    <w:pPr>
      <w:pBdr>
        <w:top w:val="nil"/>
        <w:left w:val="nil"/>
        <w:bottom w:val="nil"/>
        <w:right w:val="nil"/>
        <w:between w:val="nil"/>
      </w:pBdr>
      <w:tabs>
        <w:tab w:val="center" w:pos="4419"/>
        <w:tab w:val="right" w:pos="88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45021" w14:textId="77777777" w:rsidR="00EF0B38" w:rsidRDefault="00000000">
    <w:pPr>
      <w:tabs>
        <w:tab w:val="center" w:pos="4419"/>
        <w:tab w:val="right" w:pos="8838"/>
      </w:tabs>
      <w:ind w:left="-284"/>
      <w:rPr>
        <w:sz w:val="16"/>
        <w:szCs w:val="16"/>
      </w:rPr>
    </w:pPr>
    <w:r>
      <w:rPr>
        <w:sz w:val="16"/>
        <w:szCs w:val="16"/>
      </w:rPr>
      <w:t xml:space="preserve">Página </w:t>
    </w:r>
    <w:r>
      <w:rPr>
        <w:b/>
        <w:bCs/>
        <w:sz w:val="16"/>
        <w:szCs w:val="16"/>
      </w:rPr>
      <w:fldChar w:fldCharType="begin"/>
    </w:r>
    <w:r>
      <w:rPr>
        <w:b/>
        <w:bCs/>
        <w:sz w:val="16"/>
        <w:szCs w:val="16"/>
      </w:rPr>
      <w:instrText>PAGE</w:instrText>
    </w:r>
    <w:r>
      <w:rPr>
        <w:b/>
        <w:bCs/>
        <w:sz w:val="16"/>
        <w:szCs w:val="16"/>
      </w:rPr>
      <w:fldChar w:fldCharType="separate"/>
    </w:r>
    <w:r w:rsidR="00D00C96">
      <w:rPr>
        <w:b/>
        <w:bCs/>
        <w:noProof/>
        <w:sz w:val="16"/>
        <w:szCs w:val="16"/>
      </w:rPr>
      <w:t>1</w:t>
    </w:r>
    <w:r>
      <w:rPr>
        <w:b/>
        <w:bCs/>
        <w:sz w:val="16"/>
        <w:szCs w:val="16"/>
      </w:rPr>
      <w:fldChar w:fldCharType="end"/>
    </w:r>
    <w:r>
      <w:rPr>
        <w:sz w:val="16"/>
        <w:szCs w:val="16"/>
      </w:rPr>
      <w:t xml:space="preserve"> de </w:t>
    </w:r>
    <w:r>
      <w:rPr>
        <w:b/>
        <w:bCs/>
        <w:sz w:val="16"/>
        <w:szCs w:val="16"/>
      </w:rPr>
      <w:fldChar w:fldCharType="begin"/>
    </w:r>
    <w:r>
      <w:rPr>
        <w:b/>
        <w:bCs/>
        <w:sz w:val="16"/>
        <w:szCs w:val="16"/>
      </w:rPr>
      <w:instrText>NUMPAGES</w:instrText>
    </w:r>
    <w:r>
      <w:rPr>
        <w:b/>
        <w:bCs/>
        <w:sz w:val="16"/>
        <w:szCs w:val="16"/>
      </w:rPr>
      <w:fldChar w:fldCharType="separate"/>
    </w:r>
    <w:r w:rsidR="00D00C96">
      <w:rPr>
        <w:b/>
        <w:bCs/>
        <w:noProof/>
        <w:sz w:val="16"/>
        <w:szCs w:val="16"/>
      </w:rPr>
      <w:t>2</w:t>
    </w:r>
    <w:r>
      <w:rPr>
        <w:b/>
        <w:bCs/>
        <w:sz w:val="16"/>
        <w:szCs w:val="16"/>
      </w:rPr>
      <w:fldChar w:fldCharType="end"/>
    </w:r>
  </w:p>
  <w:p w14:paraId="7562F201" w14:textId="77777777" w:rsidR="00EF0B38" w:rsidRDefault="00000000">
    <w:pPr>
      <w:pBdr>
        <w:top w:val="nil"/>
        <w:left w:val="nil"/>
        <w:bottom w:val="nil"/>
        <w:right w:val="nil"/>
        <w:between w:val="nil"/>
      </w:pBdr>
      <w:tabs>
        <w:tab w:val="center" w:pos="4419"/>
        <w:tab w:val="right" w:pos="8838"/>
      </w:tabs>
      <w:ind w:left="-284" w:firstLine="284"/>
      <w:rPr>
        <w:color w:val="000000"/>
      </w:rPr>
    </w:pPr>
    <w:r>
      <w:rPr>
        <w:noProof/>
        <w:color w:val="000000"/>
      </w:rPr>
      <w:drawing>
        <wp:inline distT="0" distB="0" distL="0" distR="0" wp14:anchorId="6F1E6D76" wp14:editId="7D5A48E4">
          <wp:extent cx="6745315" cy="72743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745315" cy="727435"/>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8AB1F7" w14:textId="77777777" w:rsidR="00EF0B38" w:rsidRDefault="00EF0B38">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C02647"/>
    <w:multiLevelType w:val="multilevel"/>
    <w:tmpl w:val="468264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A671B74"/>
    <w:multiLevelType w:val="multilevel"/>
    <w:tmpl w:val="DA9E5A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F7047CE"/>
    <w:multiLevelType w:val="multilevel"/>
    <w:tmpl w:val="F1A4D1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796F68EB"/>
    <w:multiLevelType w:val="multilevel"/>
    <w:tmpl w:val="75DA98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7B024791"/>
    <w:multiLevelType w:val="multilevel"/>
    <w:tmpl w:val="763A117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649674348">
    <w:abstractNumId w:val="4"/>
  </w:num>
  <w:num w:numId="2" w16cid:durableId="1708140745">
    <w:abstractNumId w:val="2"/>
  </w:num>
  <w:num w:numId="3" w16cid:durableId="137189669">
    <w:abstractNumId w:val="0"/>
  </w:num>
  <w:num w:numId="4" w16cid:durableId="2074888378">
    <w:abstractNumId w:val="1"/>
  </w:num>
  <w:num w:numId="5" w16cid:durableId="178280094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ugo Palacios">
    <w15:presenceInfo w15:providerId="Windows Live" w15:userId="bfaf57f23f6958e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embedTrueTypeFonts/>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0B38"/>
    <w:rsid w:val="0012078B"/>
    <w:rsid w:val="004741E4"/>
    <w:rsid w:val="004E5133"/>
    <w:rsid w:val="00A23935"/>
    <w:rsid w:val="00D00C96"/>
    <w:rsid w:val="00EF0B3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3C780E58"/>
  <w15:docId w15:val="{FDB15838-0517-444B-9EA5-10BB7011F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paragraph" w:styleId="Revisin">
    <w:name w:val="Revision"/>
    <w:hidden/>
    <w:uiPriority w:val="99"/>
    <w:semiHidden/>
    <w:rsid w:val="00A23935"/>
  </w:style>
  <w:style w:type="character" w:styleId="Refdecomentario">
    <w:name w:val="annotation reference"/>
    <w:basedOn w:val="Fuentedeprrafopredeter"/>
    <w:uiPriority w:val="99"/>
    <w:semiHidden/>
    <w:unhideWhenUsed/>
    <w:rsid w:val="00A23935"/>
    <w:rPr>
      <w:sz w:val="16"/>
      <w:szCs w:val="16"/>
    </w:rPr>
  </w:style>
  <w:style w:type="paragraph" w:styleId="Textocomentario">
    <w:name w:val="annotation text"/>
    <w:basedOn w:val="Normal"/>
    <w:link w:val="TextocomentarioCar"/>
    <w:uiPriority w:val="99"/>
    <w:semiHidden/>
    <w:unhideWhenUsed/>
    <w:rsid w:val="00A23935"/>
    <w:rPr>
      <w:sz w:val="20"/>
      <w:szCs w:val="20"/>
    </w:rPr>
  </w:style>
  <w:style w:type="character" w:customStyle="1" w:styleId="TextocomentarioCar">
    <w:name w:val="Texto comentario Car"/>
    <w:basedOn w:val="Fuentedeprrafopredeter"/>
    <w:link w:val="Textocomentario"/>
    <w:uiPriority w:val="99"/>
    <w:semiHidden/>
    <w:rsid w:val="00A23935"/>
    <w:rPr>
      <w:sz w:val="20"/>
      <w:szCs w:val="20"/>
    </w:rPr>
  </w:style>
  <w:style w:type="paragraph" w:styleId="Asuntodelcomentario">
    <w:name w:val="annotation subject"/>
    <w:basedOn w:val="Textocomentario"/>
    <w:next w:val="Textocomentario"/>
    <w:link w:val="AsuntodelcomentarioCar"/>
    <w:uiPriority w:val="99"/>
    <w:semiHidden/>
    <w:unhideWhenUsed/>
    <w:rsid w:val="00A23935"/>
    <w:rPr>
      <w:b/>
      <w:bCs/>
    </w:rPr>
  </w:style>
  <w:style w:type="character" w:customStyle="1" w:styleId="AsuntodelcomentarioCar">
    <w:name w:val="Asunto del comentario Car"/>
    <w:basedOn w:val="TextocomentarioCar"/>
    <w:link w:val="Asuntodelcomentario"/>
    <w:uiPriority w:val="99"/>
    <w:semiHidden/>
    <w:rsid w:val="00A2393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comments" Target="comment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styles" Target="styles.xml"/><Relationship Id="rId16"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ntTable" Target="fontTable.xml"/><Relationship Id="rId10" Type="http://schemas.microsoft.com/office/2018/08/relationships/commentsExtensible" Target="commentsExtensible.xml"/><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6</Pages>
  <Words>2727</Words>
  <Characters>15003</Characters>
  <Application>Microsoft Office Word</Application>
  <DocSecurity>0</DocSecurity>
  <Lines>319</Lines>
  <Paragraphs>127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Hugo Palacios</cp:lastModifiedBy>
  <cp:revision>2</cp:revision>
  <dcterms:created xsi:type="dcterms:W3CDTF">2026-06-30T16:23:00Z</dcterms:created>
  <dcterms:modified xsi:type="dcterms:W3CDTF">2026-06-30T16:23:00Z</dcterms:modified>
</cp:coreProperties>
</file>